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2FC5" w14:textId="0A5D8E96" w:rsidR="00CB5A11" w:rsidRDefault="00EF6E47" w:rsidP="00EF6E47">
      <w:pPr>
        <w:spacing w:line="276" w:lineRule="auto"/>
        <w:jc w:val="center"/>
        <w:rPr>
          <w:rFonts w:ascii="Times New Roman" w:hAnsi="Times New Roman" w:cs="Times New Roman"/>
          <w:b/>
          <w:bCs/>
          <w:sz w:val="24"/>
          <w:szCs w:val="24"/>
          <w:u w:val="single"/>
        </w:rPr>
      </w:pPr>
      <w:r w:rsidRPr="00EF6E47">
        <w:rPr>
          <w:rFonts w:ascii="Times New Roman" w:hAnsi="Times New Roman" w:cs="Times New Roman"/>
          <w:b/>
          <w:bCs/>
          <w:sz w:val="24"/>
          <w:szCs w:val="24"/>
          <w:u w:val="single"/>
        </w:rPr>
        <w:t xml:space="preserve">No </w:t>
      </w:r>
      <w:r w:rsidRPr="00EF6E47">
        <w:rPr>
          <w:rFonts w:ascii="Times New Roman" w:hAnsi="Times New Roman" w:cs="Times New Roman"/>
          <w:b/>
          <w:bCs/>
          <w:sz w:val="24"/>
          <w:szCs w:val="24"/>
          <w:u w:val="single"/>
        </w:rPr>
        <w:t>v</w:t>
      </w:r>
      <w:r w:rsidRPr="00EF6E47">
        <w:rPr>
          <w:rFonts w:ascii="Times New Roman" w:hAnsi="Times New Roman" w:cs="Times New Roman"/>
          <w:b/>
          <w:bCs/>
          <w:sz w:val="24"/>
          <w:szCs w:val="24"/>
          <w:u w:val="single"/>
        </w:rPr>
        <w:t>ictim, no harm? Holly Thompson reviews the sentencing guidelines for sexual grooming offences</w:t>
      </w:r>
    </w:p>
    <w:p w14:paraId="4233CC6F" w14:textId="77777777" w:rsidR="00EF6E47" w:rsidRPr="00EF6E47" w:rsidRDefault="00EF6E47" w:rsidP="00EF6E47">
      <w:pPr>
        <w:spacing w:line="276" w:lineRule="auto"/>
        <w:jc w:val="center"/>
        <w:rPr>
          <w:rFonts w:ascii="Times New Roman" w:hAnsi="Times New Roman" w:cs="Times New Roman"/>
          <w:b/>
          <w:bCs/>
          <w:sz w:val="24"/>
          <w:szCs w:val="24"/>
          <w:u w:val="single"/>
        </w:rPr>
      </w:pPr>
    </w:p>
    <w:p w14:paraId="5799E594" w14:textId="70BC138A" w:rsidR="00BA1559" w:rsidRDefault="00CB5A11" w:rsidP="00525B9A">
      <w:pPr>
        <w:spacing w:line="276" w:lineRule="auto"/>
        <w:rPr>
          <w:rFonts w:ascii="Times New Roman" w:hAnsi="Times New Roman" w:cs="Times New Roman"/>
          <w:sz w:val="24"/>
          <w:szCs w:val="24"/>
        </w:rPr>
      </w:pPr>
      <w:r>
        <w:rPr>
          <w:rFonts w:ascii="Times New Roman" w:hAnsi="Times New Roman" w:cs="Times New Roman"/>
          <w:sz w:val="24"/>
          <w:szCs w:val="24"/>
        </w:rPr>
        <w:t xml:space="preserve">Over the last few years, we have seen the emergence of </w:t>
      </w:r>
      <w:r w:rsidR="00E63054">
        <w:rPr>
          <w:rFonts w:ascii="Times New Roman" w:hAnsi="Times New Roman" w:cs="Times New Roman"/>
          <w:sz w:val="24"/>
          <w:szCs w:val="24"/>
        </w:rPr>
        <w:t>“</w:t>
      </w:r>
      <w:r>
        <w:rPr>
          <w:rFonts w:ascii="Times New Roman" w:hAnsi="Times New Roman" w:cs="Times New Roman"/>
          <w:sz w:val="24"/>
          <w:szCs w:val="24"/>
        </w:rPr>
        <w:t>Paedophile Hunter</w:t>
      </w:r>
      <w:r w:rsidR="00E63054">
        <w:rPr>
          <w:rFonts w:ascii="Times New Roman" w:hAnsi="Times New Roman" w:cs="Times New Roman"/>
          <w:sz w:val="24"/>
          <w:szCs w:val="24"/>
        </w:rPr>
        <w:t>”</w:t>
      </w:r>
      <w:r>
        <w:rPr>
          <w:rFonts w:ascii="Times New Roman" w:hAnsi="Times New Roman" w:cs="Times New Roman"/>
          <w:sz w:val="24"/>
          <w:szCs w:val="24"/>
        </w:rPr>
        <w:t xml:space="preserve"> organisations across the country. These vigilante groups often lure and confront paedophiles through posing as child ‘decoys’ on social media. This involves one or more workers from the organisation pretending to be a child</w:t>
      </w:r>
      <w:r w:rsidR="00E63054">
        <w:rPr>
          <w:rFonts w:ascii="Times New Roman" w:hAnsi="Times New Roman" w:cs="Times New Roman"/>
          <w:sz w:val="24"/>
          <w:szCs w:val="24"/>
        </w:rPr>
        <w:t xml:space="preserve"> and</w:t>
      </w:r>
      <w:r>
        <w:rPr>
          <w:rFonts w:ascii="Times New Roman" w:hAnsi="Times New Roman" w:cs="Times New Roman"/>
          <w:sz w:val="24"/>
          <w:szCs w:val="24"/>
        </w:rPr>
        <w:t xml:space="preserve"> engaging in discussions with the offender </w:t>
      </w:r>
      <w:r w:rsidR="00E63054">
        <w:rPr>
          <w:rFonts w:ascii="Times New Roman" w:hAnsi="Times New Roman" w:cs="Times New Roman"/>
          <w:sz w:val="24"/>
          <w:szCs w:val="24"/>
        </w:rPr>
        <w:t>about</w:t>
      </w:r>
      <w:r>
        <w:rPr>
          <w:rFonts w:ascii="Times New Roman" w:hAnsi="Times New Roman" w:cs="Times New Roman"/>
          <w:sz w:val="24"/>
          <w:szCs w:val="24"/>
        </w:rPr>
        <w:t xml:space="preserve"> their ‘age’ and their hobbies. </w:t>
      </w:r>
      <w:r w:rsidR="00612117">
        <w:rPr>
          <w:rFonts w:ascii="Times New Roman" w:hAnsi="Times New Roman" w:cs="Times New Roman"/>
          <w:sz w:val="24"/>
          <w:szCs w:val="24"/>
        </w:rPr>
        <w:t>What we see too often in our courts are</w:t>
      </w:r>
      <w:r>
        <w:rPr>
          <w:rFonts w:ascii="Times New Roman" w:hAnsi="Times New Roman" w:cs="Times New Roman"/>
          <w:sz w:val="24"/>
          <w:szCs w:val="24"/>
        </w:rPr>
        <w:t xml:space="preserve"> these discussions </w:t>
      </w:r>
      <w:r w:rsidR="00612117">
        <w:rPr>
          <w:rFonts w:ascii="Times New Roman" w:hAnsi="Times New Roman" w:cs="Times New Roman"/>
          <w:sz w:val="24"/>
          <w:szCs w:val="24"/>
        </w:rPr>
        <w:t>turning intimate</w:t>
      </w:r>
      <w:r>
        <w:rPr>
          <w:rFonts w:ascii="Times New Roman" w:hAnsi="Times New Roman" w:cs="Times New Roman"/>
          <w:sz w:val="24"/>
          <w:szCs w:val="24"/>
        </w:rPr>
        <w:t xml:space="preserve">, with the offender sending explicit messages or photographs to </w:t>
      </w:r>
      <w:r w:rsidR="00BA1559">
        <w:rPr>
          <w:rFonts w:ascii="Times New Roman" w:hAnsi="Times New Roman" w:cs="Times New Roman"/>
          <w:sz w:val="24"/>
          <w:szCs w:val="24"/>
        </w:rPr>
        <w:t xml:space="preserve">the ‘child’ and sometimes, even asking to meet them in person. Videos are then taken of the group confronting the offender and reports are made to the police, leading to prosecutions for sexual offences. </w:t>
      </w:r>
      <w:r w:rsidR="00612117">
        <w:rPr>
          <w:rFonts w:ascii="Times New Roman" w:hAnsi="Times New Roman" w:cs="Times New Roman"/>
          <w:sz w:val="24"/>
          <w:szCs w:val="24"/>
        </w:rPr>
        <w:t xml:space="preserve">This can also be the case where, instead of vigilante groups, the offender has been in contact with undercover police officers directly. </w:t>
      </w:r>
    </w:p>
    <w:p w14:paraId="6E8D78C8" w14:textId="77777777" w:rsidR="00BA1559" w:rsidRDefault="00BA1559" w:rsidP="00525B9A">
      <w:pPr>
        <w:spacing w:line="276" w:lineRule="auto"/>
        <w:rPr>
          <w:rFonts w:ascii="Times New Roman" w:hAnsi="Times New Roman" w:cs="Times New Roman"/>
          <w:sz w:val="24"/>
          <w:szCs w:val="24"/>
        </w:rPr>
      </w:pPr>
    </w:p>
    <w:p w14:paraId="0581D1DC" w14:textId="1257E860" w:rsidR="00CB5A11" w:rsidRDefault="00612117" w:rsidP="00525B9A">
      <w:pPr>
        <w:spacing w:line="276" w:lineRule="auto"/>
        <w:rPr>
          <w:rFonts w:ascii="Times New Roman" w:hAnsi="Times New Roman" w:cs="Times New Roman"/>
          <w:sz w:val="24"/>
          <w:szCs w:val="24"/>
        </w:rPr>
      </w:pPr>
      <w:r>
        <w:rPr>
          <w:rFonts w:ascii="Times New Roman" w:hAnsi="Times New Roman" w:cs="Times New Roman"/>
          <w:sz w:val="24"/>
          <w:szCs w:val="24"/>
        </w:rPr>
        <w:t>This type of criminality</w:t>
      </w:r>
      <w:r w:rsidR="00BA1559">
        <w:rPr>
          <w:rFonts w:ascii="Times New Roman" w:hAnsi="Times New Roman" w:cs="Times New Roman"/>
          <w:sz w:val="24"/>
          <w:szCs w:val="24"/>
        </w:rPr>
        <w:t xml:space="preserve"> often fall</w:t>
      </w:r>
      <w:r>
        <w:rPr>
          <w:rFonts w:ascii="Times New Roman" w:hAnsi="Times New Roman" w:cs="Times New Roman"/>
          <w:sz w:val="24"/>
          <w:szCs w:val="24"/>
        </w:rPr>
        <w:t>s</w:t>
      </w:r>
      <w:r w:rsidR="00BA1559">
        <w:rPr>
          <w:rFonts w:ascii="Times New Roman" w:hAnsi="Times New Roman" w:cs="Times New Roman"/>
          <w:sz w:val="24"/>
          <w:szCs w:val="24"/>
        </w:rPr>
        <w:t xml:space="preserve"> into the bracket of the following offences:</w:t>
      </w:r>
    </w:p>
    <w:p w14:paraId="21E6126E" w14:textId="55B6E447" w:rsidR="00BA1559" w:rsidRDefault="00BA1559" w:rsidP="00525B9A">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S.14 Sexual Offences Act 2003 – Arranging or facilitating the commission of a child sex offence; or</w:t>
      </w:r>
    </w:p>
    <w:p w14:paraId="64606B1B" w14:textId="48CB7712" w:rsidR="00BA1559" w:rsidRPr="00BA1559" w:rsidRDefault="00BA1559" w:rsidP="00525B9A">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S.10 Sexual Offences Act 2003 – Causing or inciting a child to engage in sexual activity.</w:t>
      </w:r>
    </w:p>
    <w:p w14:paraId="1C95C262" w14:textId="384EE8C4" w:rsidR="00BA1559" w:rsidRDefault="00BA1559" w:rsidP="00525B9A">
      <w:pPr>
        <w:spacing w:line="276" w:lineRule="auto"/>
        <w:rPr>
          <w:rFonts w:ascii="Times New Roman" w:hAnsi="Times New Roman" w:cs="Times New Roman"/>
          <w:sz w:val="24"/>
          <w:szCs w:val="24"/>
        </w:rPr>
      </w:pPr>
    </w:p>
    <w:p w14:paraId="2929E356" w14:textId="0EE36497" w:rsidR="00583024" w:rsidRDefault="00BA1559" w:rsidP="00525B9A">
      <w:pPr>
        <w:spacing w:line="276" w:lineRule="auto"/>
        <w:rPr>
          <w:rFonts w:ascii="Times New Roman" w:hAnsi="Times New Roman" w:cs="Times New Roman"/>
          <w:sz w:val="24"/>
          <w:szCs w:val="24"/>
        </w:rPr>
      </w:pPr>
      <w:r>
        <w:rPr>
          <w:rFonts w:ascii="Times New Roman" w:hAnsi="Times New Roman" w:cs="Times New Roman"/>
          <w:sz w:val="24"/>
          <w:szCs w:val="24"/>
        </w:rPr>
        <w:t xml:space="preserve">On conviction, judges and benches of magistrates’ have had the difficult task of sentencing these offences. </w:t>
      </w:r>
      <w:r w:rsidR="004C42FD">
        <w:rPr>
          <w:rFonts w:ascii="Times New Roman" w:hAnsi="Times New Roman" w:cs="Times New Roman"/>
          <w:sz w:val="24"/>
          <w:szCs w:val="24"/>
        </w:rPr>
        <w:t>As per the Sentencing Guidelines, one</w:t>
      </w:r>
      <w:r>
        <w:rPr>
          <w:rFonts w:ascii="Times New Roman" w:hAnsi="Times New Roman" w:cs="Times New Roman"/>
          <w:sz w:val="24"/>
          <w:szCs w:val="24"/>
        </w:rPr>
        <w:t xml:space="preserve"> of the considerations they have to take into account is the level of ‘harm’ which has been caused to the victim. Obviously, when there is no actual </w:t>
      </w:r>
      <w:r w:rsidR="00E63054">
        <w:rPr>
          <w:rFonts w:ascii="Times New Roman" w:hAnsi="Times New Roman" w:cs="Times New Roman"/>
          <w:sz w:val="24"/>
          <w:szCs w:val="24"/>
        </w:rPr>
        <w:t>‘</w:t>
      </w:r>
      <w:r>
        <w:rPr>
          <w:rFonts w:ascii="Times New Roman" w:hAnsi="Times New Roman" w:cs="Times New Roman"/>
          <w:sz w:val="24"/>
          <w:szCs w:val="24"/>
        </w:rPr>
        <w:t>victim</w:t>
      </w:r>
      <w:r w:rsidR="00E63054">
        <w:rPr>
          <w:rFonts w:ascii="Times New Roman" w:hAnsi="Times New Roman" w:cs="Times New Roman"/>
          <w:sz w:val="24"/>
          <w:szCs w:val="24"/>
        </w:rPr>
        <w:t>’</w:t>
      </w:r>
      <w:r>
        <w:rPr>
          <w:rFonts w:ascii="Times New Roman" w:hAnsi="Times New Roman" w:cs="Times New Roman"/>
          <w:sz w:val="24"/>
          <w:szCs w:val="24"/>
        </w:rPr>
        <w:t xml:space="preserve">, this creates some difficulty. </w:t>
      </w:r>
      <w:r w:rsidR="00583024">
        <w:rPr>
          <w:rFonts w:ascii="Times New Roman" w:hAnsi="Times New Roman" w:cs="Times New Roman"/>
          <w:sz w:val="24"/>
          <w:szCs w:val="24"/>
        </w:rPr>
        <w:t>The Sentencing Council have noted that the previous guidelines</w:t>
      </w:r>
      <w:r w:rsidR="00E63054">
        <w:rPr>
          <w:rFonts w:ascii="Times New Roman" w:hAnsi="Times New Roman" w:cs="Times New Roman"/>
          <w:sz w:val="24"/>
          <w:szCs w:val="24"/>
        </w:rPr>
        <w:t xml:space="preserve"> </w:t>
      </w:r>
      <w:r w:rsidR="00583024">
        <w:rPr>
          <w:rFonts w:ascii="Times New Roman" w:hAnsi="Times New Roman" w:cs="Times New Roman"/>
          <w:sz w:val="24"/>
          <w:szCs w:val="24"/>
        </w:rPr>
        <w:t>ha</w:t>
      </w:r>
      <w:r w:rsidR="00E63054">
        <w:rPr>
          <w:rFonts w:ascii="Times New Roman" w:hAnsi="Times New Roman" w:cs="Times New Roman"/>
          <w:sz w:val="24"/>
          <w:szCs w:val="24"/>
        </w:rPr>
        <w:t>ve</w:t>
      </w:r>
      <w:r w:rsidR="00583024">
        <w:rPr>
          <w:rFonts w:ascii="Times New Roman" w:hAnsi="Times New Roman" w:cs="Times New Roman"/>
          <w:sz w:val="24"/>
          <w:szCs w:val="24"/>
        </w:rPr>
        <w:t xml:space="preserve"> been interpreted</w:t>
      </w:r>
      <w:r w:rsidR="00E63054">
        <w:rPr>
          <w:rFonts w:ascii="Times New Roman" w:hAnsi="Times New Roman" w:cs="Times New Roman"/>
          <w:sz w:val="24"/>
          <w:szCs w:val="24"/>
        </w:rPr>
        <w:t>,</w:t>
      </w:r>
      <w:r w:rsidR="00583024">
        <w:rPr>
          <w:rFonts w:ascii="Times New Roman" w:hAnsi="Times New Roman" w:cs="Times New Roman"/>
          <w:sz w:val="24"/>
          <w:szCs w:val="24"/>
        </w:rPr>
        <w:t xml:space="preserve"> in </w:t>
      </w:r>
      <w:r w:rsidR="00E63054">
        <w:rPr>
          <w:rFonts w:ascii="Times New Roman" w:hAnsi="Times New Roman" w:cs="Times New Roman"/>
          <w:sz w:val="24"/>
          <w:szCs w:val="24"/>
        </w:rPr>
        <w:t>some</w:t>
      </w:r>
      <w:r w:rsidR="00583024">
        <w:rPr>
          <w:rFonts w:ascii="Times New Roman" w:hAnsi="Times New Roman" w:cs="Times New Roman"/>
          <w:sz w:val="24"/>
          <w:szCs w:val="24"/>
        </w:rPr>
        <w:t xml:space="preserve"> cases</w:t>
      </w:r>
      <w:r w:rsidR="00E63054">
        <w:rPr>
          <w:rFonts w:ascii="Times New Roman" w:hAnsi="Times New Roman" w:cs="Times New Roman"/>
          <w:sz w:val="24"/>
          <w:szCs w:val="24"/>
        </w:rPr>
        <w:t>,</w:t>
      </w:r>
      <w:r w:rsidR="00583024">
        <w:rPr>
          <w:rFonts w:ascii="Times New Roman" w:hAnsi="Times New Roman" w:cs="Times New Roman"/>
          <w:sz w:val="24"/>
          <w:szCs w:val="24"/>
        </w:rPr>
        <w:t xml:space="preserve"> to </w:t>
      </w:r>
      <w:r w:rsidR="00E63054">
        <w:rPr>
          <w:rFonts w:ascii="Times New Roman" w:hAnsi="Times New Roman" w:cs="Times New Roman"/>
          <w:sz w:val="24"/>
          <w:szCs w:val="24"/>
        </w:rPr>
        <w:t>suggest</w:t>
      </w:r>
      <w:r w:rsidR="00583024">
        <w:rPr>
          <w:rFonts w:ascii="Times New Roman" w:hAnsi="Times New Roman" w:cs="Times New Roman"/>
          <w:sz w:val="24"/>
          <w:szCs w:val="24"/>
        </w:rPr>
        <w:t xml:space="preserve"> that the level of harm was low or</w:t>
      </w:r>
      <w:r w:rsidR="00E63054">
        <w:rPr>
          <w:rFonts w:ascii="Times New Roman" w:hAnsi="Times New Roman" w:cs="Times New Roman"/>
          <w:sz w:val="24"/>
          <w:szCs w:val="24"/>
        </w:rPr>
        <w:t xml:space="preserve"> that</w:t>
      </w:r>
      <w:r w:rsidR="00583024">
        <w:rPr>
          <w:rFonts w:ascii="Times New Roman" w:hAnsi="Times New Roman" w:cs="Times New Roman"/>
          <w:sz w:val="24"/>
          <w:szCs w:val="24"/>
        </w:rPr>
        <w:t xml:space="preserve"> the absence of harm counted as a mitigating factor, where there </w:t>
      </w:r>
      <w:r w:rsidR="00E63054">
        <w:rPr>
          <w:rFonts w:ascii="Times New Roman" w:hAnsi="Times New Roman" w:cs="Times New Roman"/>
          <w:sz w:val="24"/>
          <w:szCs w:val="24"/>
        </w:rPr>
        <w:t>were</w:t>
      </w:r>
      <w:r w:rsidR="00583024">
        <w:rPr>
          <w:rFonts w:ascii="Times New Roman" w:hAnsi="Times New Roman" w:cs="Times New Roman"/>
          <w:sz w:val="24"/>
          <w:szCs w:val="24"/>
        </w:rPr>
        <w:t xml:space="preserve"> arrangements or incitements of sexual activity but it did not </w:t>
      </w:r>
      <w:r w:rsidR="00E63054">
        <w:rPr>
          <w:rFonts w:ascii="Times New Roman" w:hAnsi="Times New Roman" w:cs="Times New Roman"/>
          <w:sz w:val="24"/>
          <w:szCs w:val="24"/>
        </w:rPr>
        <w:t xml:space="preserve">actually </w:t>
      </w:r>
      <w:r w:rsidR="00583024">
        <w:rPr>
          <w:rFonts w:ascii="Times New Roman" w:hAnsi="Times New Roman" w:cs="Times New Roman"/>
          <w:sz w:val="24"/>
          <w:szCs w:val="24"/>
        </w:rPr>
        <w:t>happen.</w:t>
      </w:r>
    </w:p>
    <w:p w14:paraId="5BB097D3" w14:textId="0952AB8D" w:rsidR="00583024" w:rsidRDefault="00583024" w:rsidP="00525B9A">
      <w:pPr>
        <w:spacing w:line="276" w:lineRule="auto"/>
        <w:rPr>
          <w:rFonts w:ascii="Times New Roman" w:hAnsi="Times New Roman" w:cs="Times New Roman"/>
          <w:sz w:val="24"/>
          <w:szCs w:val="24"/>
        </w:rPr>
      </w:pPr>
    </w:p>
    <w:p w14:paraId="438BE72F" w14:textId="09C60EBC" w:rsidR="00281E48" w:rsidRPr="00281E48" w:rsidRDefault="00281E48" w:rsidP="00525B9A">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Previous guidance</w:t>
      </w:r>
    </w:p>
    <w:p w14:paraId="27321807" w14:textId="45A0A70D" w:rsidR="00281E48" w:rsidRDefault="00BA1559" w:rsidP="00525B9A">
      <w:pPr>
        <w:spacing w:line="276" w:lineRule="auto"/>
        <w:rPr>
          <w:rFonts w:ascii="Times New Roman" w:hAnsi="Times New Roman" w:cs="Times New Roman"/>
          <w:sz w:val="24"/>
          <w:szCs w:val="24"/>
        </w:rPr>
      </w:pPr>
      <w:r>
        <w:rPr>
          <w:rFonts w:ascii="Times New Roman" w:hAnsi="Times New Roman" w:cs="Times New Roman"/>
          <w:sz w:val="24"/>
          <w:szCs w:val="24"/>
        </w:rPr>
        <w:t>Prior to 31</w:t>
      </w:r>
      <w:r w:rsidRPr="00BA1559">
        <w:rPr>
          <w:rFonts w:ascii="Times New Roman" w:hAnsi="Times New Roman" w:cs="Times New Roman"/>
          <w:sz w:val="24"/>
          <w:szCs w:val="24"/>
          <w:vertAlign w:val="superscript"/>
        </w:rPr>
        <w:t>st</w:t>
      </w:r>
      <w:r>
        <w:rPr>
          <w:rFonts w:ascii="Times New Roman" w:hAnsi="Times New Roman" w:cs="Times New Roman"/>
          <w:sz w:val="24"/>
          <w:szCs w:val="24"/>
        </w:rPr>
        <w:t xml:space="preserve"> May 2022, there </w:t>
      </w:r>
      <w:r w:rsidR="00612117">
        <w:rPr>
          <w:rFonts w:ascii="Times New Roman" w:hAnsi="Times New Roman" w:cs="Times New Roman"/>
          <w:sz w:val="24"/>
          <w:szCs w:val="24"/>
        </w:rPr>
        <w:t>were</w:t>
      </w:r>
      <w:r>
        <w:rPr>
          <w:rFonts w:ascii="Times New Roman" w:hAnsi="Times New Roman" w:cs="Times New Roman"/>
          <w:sz w:val="24"/>
          <w:szCs w:val="24"/>
        </w:rPr>
        <w:t xml:space="preserve"> two main cases which </w:t>
      </w:r>
      <w:r w:rsidR="00612117">
        <w:rPr>
          <w:rFonts w:ascii="Times New Roman" w:hAnsi="Times New Roman" w:cs="Times New Roman"/>
          <w:sz w:val="24"/>
          <w:szCs w:val="24"/>
        </w:rPr>
        <w:t>could</w:t>
      </w:r>
      <w:r>
        <w:rPr>
          <w:rFonts w:ascii="Times New Roman" w:hAnsi="Times New Roman" w:cs="Times New Roman"/>
          <w:sz w:val="24"/>
          <w:szCs w:val="24"/>
        </w:rPr>
        <w:t xml:space="preserve"> be relied on </w:t>
      </w:r>
      <w:r w:rsidR="00612117">
        <w:rPr>
          <w:rFonts w:ascii="Times New Roman" w:hAnsi="Times New Roman" w:cs="Times New Roman"/>
          <w:sz w:val="24"/>
          <w:szCs w:val="24"/>
        </w:rPr>
        <w:t xml:space="preserve">in sentencing </w:t>
      </w:r>
      <w:r w:rsidR="004C42FD">
        <w:rPr>
          <w:rFonts w:ascii="Times New Roman" w:hAnsi="Times New Roman" w:cs="Times New Roman"/>
          <w:sz w:val="24"/>
          <w:szCs w:val="24"/>
        </w:rPr>
        <w:t xml:space="preserve">these offences </w:t>
      </w:r>
      <w:r w:rsidR="00612117">
        <w:rPr>
          <w:rFonts w:ascii="Times New Roman" w:hAnsi="Times New Roman" w:cs="Times New Roman"/>
          <w:sz w:val="24"/>
          <w:szCs w:val="24"/>
        </w:rPr>
        <w:t xml:space="preserve">– </w:t>
      </w:r>
      <w:r w:rsidR="004C42FD">
        <w:rPr>
          <w:rFonts w:ascii="Times New Roman" w:hAnsi="Times New Roman" w:cs="Times New Roman"/>
          <w:i/>
          <w:iCs/>
          <w:sz w:val="24"/>
          <w:szCs w:val="24"/>
        </w:rPr>
        <w:t xml:space="preserve">R v </w:t>
      </w:r>
      <w:proofErr w:type="spellStart"/>
      <w:r w:rsidR="00612117">
        <w:rPr>
          <w:rFonts w:ascii="Times New Roman" w:hAnsi="Times New Roman" w:cs="Times New Roman"/>
          <w:i/>
          <w:iCs/>
          <w:sz w:val="24"/>
          <w:szCs w:val="24"/>
        </w:rPr>
        <w:t>Privett</w:t>
      </w:r>
      <w:proofErr w:type="spellEnd"/>
      <w:r w:rsidR="00612117">
        <w:rPr>
          <w:rFonts w:ascii="Times New Roman" w:hAnsi="Times New Roman" w:cs="Times New Roman"/>
          <w:i/>
          <w:iCs/>
          <w:sz w:val="24"/>
          <w:szCs w:val="24"/>
        </w:rPr>
        <w:t xml:space="preserve"> &amp; Others </w:t>
      </w:r>
      <w:r w:rsidR="00612117">
        <w:rPr>
          <w:rFonts w:ascii="Times New Roman" w:hAnsi="Times New Roman" w:cs="Times New Roman"/>
          <w:sz w:val="24"/>
          <w:szCs w:val="24"/>
        </w:rPr>
        <w:t>[2020] EWCA Crim 557</w:t>
      </w:r>
      <w:r w:rsidR="00612117">
        <w:rPr>
          <w:rFonts w:ascii="Times New Roman" w:hAnsi="Times New Roman" w:cs="Times New Roman"/>
          <w:i/>
          <w:iCs/>
          <w:sz w:val="24"/>
          <w:szCs w:val="24"/>
        </w:rPr>
        <w:t xml:space="preserve"> </w:t>
      </w:r>
      <w:r w:rsidR="00612117">
        <w:rPr>
          <w:rFonts w:ascii="Times New Roman" w:hAnsi="Times New Roman" w:cs="Times New Roman"/>
          <w:sz w:val="24"/>
          <w:szCs w:val="24"/>
        </w:rPr>
        <w:t xml:space="preserve">and </w:t>
      </w:r>
      <w:r w:rsidR="004C42FD">
        <w:rPr>
          <w:rFonts w:ascii="Times New Roman" w:hAnsi="Times New Roman" w:cs="Times New Roman"/>
          <w:i/>
          <w:iCs/>
          <w:sz w:val="24"/>
          <w:szCs w:val="24"/>
        </w:rPr>
        <w:t xml:space="preserve">R v </w:t>
      </w:r>
      <w:r w:rsidR="00612117">
        <w:rPr>
          <w:rFonts w:ascii="Times New Roman" w:hAnsi="Times New Roman" w:cs="Times New Roman"/>
          <w:i/>
          <w:iCs/>
          <w:sz w:val="24"/>
          <w:szCs w:val="24"/>
        </w:rPr>
        <w:t xml:space="preserve">Reed </w:t>
      </w:r>
      <w:r w:rsidR="004C42FD">
        <w:rPr>
          <w:rFonts w:ascii="Times New Roman" w:hAnsi="Times New Roman" w:cs="Times New Roman"/>
          <w:i/>
          <w:iCs/>
          <w:sz w:val="24"/>
          <w:szCs w:val="24"/>
        </w:rPr>
        <w:t>&amp;</w:t>
      </w:r>
      <w:r w:rsidR="00612117">
        <w:rPr>
          <w:rFonts w:ascii="Times New Roman" w:hAnsi="Times New Roman" w:cs="Times New Roman"/>
          <w:i/>
          <w:iCs/>
          <w:sz w:val="24"/>
          <w:szCs w:val="24"/>
        </w:rPr>
        <w:t xml:space="preserve"> Others</w:t>
      </w:r>
      <w:r w:rsidR="004C42FD">
        <w:rPr>
          <w:rFonts w:ascii="Times New Roman" w:hAnsi="Times New Roman" w:cs="Times New Roman"/>
          <w:i/>
          <w:iCs/>
          <w:sz w:val="24"/>
          <w:szCs w:val="24"/>
        </w:rPr>
        <w:t xml:space="preserve"> </w:t>
      </w:r>
      <w:r w:rsidR="004C42FD">
        <w:rPr>
          <w:rFonts w:ascii="Times New Roman" w:hAnsi="Times New Roman" w:cs="Times New Roman"/>
          <w:sz w:val="24"/>
          <w:szCs w:val="24"/>
        </w:rPr>
        <w:t>[2021] EWCA Crim 572</w:t>
      </w:r>
      <w:r w:rsidR="00612117">
        <w:rPr>
          <w:rFonts w:ascii="Times New Roman" w:hAnsi="Times New Roman" w:cs="Times New Roman"/>
          <w:sz w:val="24"/>
          <w:szCs w:val="24"/>
        </w:rPr>
        <w:t xml:space="preserve">. These </w:t>
      </w:r>
      <w:r w:rsidR="004C42FD">
        <w:rPr>
          <w:rFonts w:ascii="Times New Roman" w:hAnsi="Times New Roman" w:cs="Times New Roman"/>
          <w:sz w:val="24"/>
          <w:szCs w:val="24"/>
        </w:rPr>
        <w:t xml:space="preserve">two </w:t>
      </w:r>
      <w:r w:rsidR="00612117">
        <w:rPr>
          <w:rFonts w:ascii="Times New Roman" w:hAnsi="Times New Roman" w:cs="Times New Roman"/>
          <w:sz w:val="24"/>
          <w:szCs w:val="24"/>
        </w:rPr>
        <w:t>cases concerned the above offences in circumstances where there was a fictitious child</w:t>
      </w:r>
      <w:r w:rsidR="004C42FD">
        <w:rPr>
          <w:rFonts w:ascii="Times New Roman" w:hAnsi="Times New Roman" w:cs="Times New Roman"/>
          <w:sz w:val="24"/>
          <w:szCs w:val="24"/>
        </w:rPr>
        <w:t xml:space="preserve"> and no actual harm was caused. </w:t>
      </w:r>
    </w:p>
    <w:p w14:paraId="27679DA6" w14:textId="77777777" w:rsidR="00281E48" w:rsidRDefault="00281E48" w:rsidP="00525B9A">
      <w:pPr>
        <w:spacing w:line="276" w:lineRule="auto"/>
        <w:rPr>
          <w:rFonts w:ascii="Times New Roman" w:hAnsi="Times New Roman" w:cs="Times New Roman"/>
          <w:sz w:val="24"/>
          <w:szCs w:val="24"/>
        </w:rPr>
      </w:pPr>
    </w:p>
    <w:p w14:paraId="67024AF9" w14:textId="02C6F187" w:rsidR="004C42FD" w:rsidRPr="00525B9A" w:rsidRDefault="00281E48" w:rsidP="00525B9A">
      <w:pPr>
        <w:spacing w:line="276" w:lineRule="auto"/>
        <w:rPr>
          <w:rFonts w:ascii="Times New Roman" w:hAnsi="Times New Roman" w:cs="Times New Roman"/>
          <w:sz w:val="24"/>
          <w:szCs w:val="24"/>
        </w:rPr>
      </w:pPr>
      <w:r>
        <w:rPr>
          <w:rFonts w:ascii="Times New Roman" w:hAnsi="Times New Roman" w:cs="Times New Roman"/>
          <w:sz w:val="24"/>
          <w:szCs w:val="24"/>
        </w:rPr>
        <w:t>T</w:t>
      </w:r>
      <w:r w:rsidR="004C42FD">
        <w:rPr>
          <w:rFonts w:ascii="Times New Roman" w:hAnsi="Times New Roman" w:cs="Times New Roman"/>
          <w:sz w:val="24"/>
          <w:szCs w:val="24"/>
        </w:rPr>
        <w:t xml:space="preserve">he guidance </w:t>
      </w:r>
      <w:r>
        <w:rPr>
          <w:rFonts w:ascii="Times New Roman" w:hAnsi="Times New Roman" w:cs="Times New Roman"/>
          <w:sz w:val="24"/>
          <w:szCs w:val="24"/>
        </w:rPr>
        <w:t>from</w:t>
      </w:r>
      <w:r w:rsidR="004C42FD">
        <w:rPr>
          <w:rFonts w:ascii="Times New Roman" w:hAnsi="Times New Roman" w:cs="Times New Roman"/>
          <w:sz w:val="24"/>
          <w:szCs w:val="24"/>
        </w:rPr>
        <w:t xml:space="preserve"> these cases </w:t>
      </w:r>
      <w:r>
        <w:rPr>
          <w:rFonts w:ascii="Times New Roman" w:hAnsi="Times New Roman" w:cs="Times New Roman"/>
          <w:sz w:val="24"/>
          <w:szCs w:val="24"/>
        </w:rPr>
        <w:t>was</w:t>
      </w:r>
      <w:r w:rsidR="004C42FD">
        <w:rPr>
          <w:rFonts w:ascii="Times New Roman" w:hAnsi="Times New Roman" w:cs="Times New Roman"/>
          <w:sz w:val="24"/>
          <w:szCs w:val="24"/>
        </w:rPr>
        <w:t xml:space="preserve"> summarised by Lord Justice Fulford VP:</w:t>
      </w:r>
    </w:p>
    <w:p w14:paraId="449FDBCA" w14:textId="3B707782" w:rsidR="00525B9A" w:rsidRPr="00525B9A" w:rsidRDefault="00525B9A" w:rsidP="00525B9A">
      <w:pPr>
        <w:pStyle w:val="ListParagraph"/>
        <w:numPr>
          <w:ilvl w:val="0"/>
          <w:numId w:val="2"/>
        </w:numPr>
        <w:spacing w:line="276" w:lineRule="auto"/>
        <w:rPr>
          <w:rStyle w:val="apple-converted-space"/>
          <w:rFonts w:ascii="Times New Roman" w:hAnsi="Times New Roman" w:cs="Times New Roman"/>
          <w:color w:val="000000"/>
        </w:rPr>
      </w:pPr>
      <w:r w:rsidRPr="00525B9A">
        <w:rPr>
          <w:rStyle w:val="s2"/>
          <w:rFonts w:ascii="Times New Roman" w:hAnsi="Times New Roman" w:cs="Times New Roman"/>
          <w:color w:val="000000"/>
        </w:rPr>
        <w:t>“For a section 14 offence the position under the guideline was clear:</w:t>
      </w:r>
      <w:r w:rsidRPr="00525B9A">
        <w:rPr>
          <w:rStyle w:val="apple-converted-space"/>
          <w:rFonts w:ascii="Times New Roman" w:hAnsi="Times New Roman" w:cs="Times New Roman"/>
          <w:color w:val="000000"/>
        </w:rPr>
        <w:t> </w:t>
      </w:r>
      <w:r w:rsidRPr="00525B9A">
        <w:rPr>
          <w:rStyle w:val="s26"/>
          <w:rFonts w:ascii="Times New Roman" w:hAnsi="Times New Roman" w:cs="Times New Roman"/>
          <w:color w:val="000000"/>
        </w:rPr>
        <w:t xml:space="preserve">the judge should, first, identify the category of harm on the basis of the sexual activity that the defendant intended </w:t>
      </w:r>
      <w:r w:rsidRPr="00525B9A">
        <w:rPr>
          <w:rStyle w:val="s26"/>
          <w:rFonts w:ascii="Times New Roman" w:hAnsi="Times New Roman" w:cs="Times New Roman"/>
          <w:color w:val="000000"/>
        </w:rPr>
        <w:lastRenderedPageBreak/>
        <w:t>(“</w:t>
      </w:r>
      <w:r w:rsidRPr="00525B9A">
        <w:rPr>
          <w:rStyle w:val="s27"/>
          <w:rFonts w:ascii="Times New Roman" w:hAnsi="Times New Roman" w:cs="Times New Roman"/>
          <w:i/>
          <w:iCs/>
          <w:color w:val="000000"/>
        </w:rPr>
        <w:t>the level of harm should be determined by reference to the type of activity arranged or facilitated</w:t>
      </w:r>
      <w:r w:rsidRPr="00525B9A">
        <w:rPr>
          <w:rStyle w:val="s26"/>
          <w:rFonts w:ascii="Times New Roman" w:hAnsi="Times New Roman" w:cs="Times New Roman"/>
          <w:color w:val="000000"/>
        </w:rPr>
        <w:t>”); and, second, adjust the sentence in order to ensure it was commensurate with, or proportionate to, the applicable starting point and range if no sexual activity had occurred (including because the victim was fictional)</w:t>
      </w:r>
      <w:r w:rsidRPr="00525B9A">
        <w:rPr>
          <w:rStyle w:val="s2"/>
          <w:rFonts w:ascii="Times New Roman" w:hAnsi="Times New Roman" w:cs="Times New Roman"/>
          <w:color w:val="000000"/>
        </w:rPr>
        <w:t xml:space="preserve"> (see [59]–[67]).</w:t>
      </w:r>
      <w:r w:rsidRPr="00525B9A">
        <w:rPr>
          <w:rStyle w:val="apple-converted-space"/>
          <w:rFonts w:ascii="Times New Roman" w:hAnsi="Times New Roman" w:cs="Times New Roman"/>
          <w:color w:val="000000"/>
        </w:rPr>
        <w:t> </w:t>
      </w:r>
    </w:p>
    <w:p w14:paraId="43BFAE86" w14:textId="77777777" w:rsidR="00525B9A" w:rsidRPr="00525B9A" w:rsidRDefault="00525B9A" w:rsidP="00525B9A">
      <w:pPr>
        <w:pStyle w:val="ListParagraph"/>
        <w:spacing w:line="276" w:lineRule="auto"/>
        <w:rPr>
          <w:rStyle w:val="apple-converted-space"/>
          <w:rFonts w:ascii="Times New Roman" w:hAnsi="Times New Roman" w:cs="Times New Roman"/>
          <w:color w:val="000000"/>
        </w:rPr>
      </w:pPr>
    </w:p>
    <w:p w14:paraId="2B9711DD" w14:textId="2ECF224C" w:rsidR="00525B9A" w:rsidRPr="00525B9A" w:rsidRDefault="00525B9A" w:rsidP="00525B9A">
      <w:pPr>
        <w:pStyle w:val="ListParagraph"/>
        <w:numPr>
          <w:ilvl w:val="0"/>
          <w:numId w:val="2"/>
        </w:numPr>
        <w:spacing w:after="0" w:line="276" w:lineRule="auto"/>
        <w:rPr>
          <w:rFonts w:ascii="Times New Roman" w:hAnsi="Times New Roman" w:cs="Times New Roman"/>
          <w:u w:val="single"/>
        </w:rPr>
      </w:pPr>
      <w:r w:rsidRPr="00525B9A">
        <w:rPr>
          <w:rStyle w:val="s2"/>
          <w:rFonts w:ascii="Times New Roman" w:hAnsi="Times New Roman" w:cs="Times New Roman"/>
          <w:color w:val="000000"/>
        </w:rPr>
        <w:t>“This decision will end the rigid distinction between those cases where particular sexual activity takes place and those cases where the defendant, for instance, does everything he is able to bring that sexual activity about but for reasons beyond his control it does not materialise. The sentencing judge should make an appropriate downward adjustment to recognise the fact that no sexual activity occurred, as demonstrated by the court in</w:t>
      </w:r>
      <w:r w:rsidRPr="00525B9A">
        <w:rPr>
          <w:rStyle w:val="apple-converted-space"/>
          <w:rFonts w:ascii="Times New Roman" w:hAnsi="Times New Roman" w:cs="Times New Roman"/>
          <w:color w:val="000000"/>
        </w:rPr>
        <w:t> </w:t>
      </w:r>
      <w:proofErr w:type="spellStart"/>
      <w:r w:rsidRPr="00525B9A">
        <w:rPr>
          <w:rStyle w:val="s28"/>
          <w:rFonts w:ascii="Times New Roman" w:hAnsi="Times New Roman" w:cs="Times New Roman"/>
          <w:i/>
          <w:iCs/>
          <w:color w:val="000000"/>
        </w:rPr>
        <w:t>Privett</w:t>
      </w:r>
      <w:proofErr w:type="spellEnd"/>
      <w:r w:rsidRPr="00525B9A">
        <w:rPr>
          <w:rStyle w:val="apple-converted-space"/>
          <w:rFonts w:ascii="Times New Roman" w:hAnsi="Times New Roman" w:cs="Times New Roman"/>
          <w:i/>
          <w:iCs/>
          <w:color w:val="000000"/>
        </w:rPr>
        <w:t> </w:t>
      </w:r>
      <w:r w:rsidRPr="00525B9A">
        <w:rPr>
          <w:rStyle w:val="s2"/>
          <w:rFonts w:ascii="Times New Roman" w:hAnsi="Times New Roman" w:cs="Times New Roman"/>
          <w:color w:val="000000"/>
        </w:rPr>
        <w:t>(at [67]. Furthermore, we consider</w:t>
      </w:r>
      <w:r w:rsidRPr="00525B9A">
        <w:rPr>
          <w:rStyle w:val="apple-converted-space"/>
          <w:rFonts w:ascii="Times New Roman" w:hAnsi="Times New Roman" w:cs="Times New Roman"/>
          <w:color w:val="000000"/>
        </w:rPr>
        <w:t> </w:t>
      </w:r>
      <w:r w:rsidRPr="00525B9A">
        <w:rPr>
          <w:rStyle w:val="s26"/>
          <w:rFonts w:ascii="Times New Roman" w:hAnsi="Times New Roman" w:cs="Times New Roman"/>
          <w:color w:val="000000"/>
        </w:rPr>
        <w:t>this approach should apply to</w:t>
      </w:r>
      <w:r w:rsidRPr="00525B9A">
        <w:rPr>
          <w:rStyle w:val="apple-converted-space"/>
          <w:rFonts w:ascii="Times New Roman" w:hAnsi="Times New Roman" w:cs="Times New Roman"/>
          <w:color w:val="000000"/>
        </w:rPr>
        <w:t> </w:t>
      </w:r>
      <w:r w:rsidRPr="00525B9A">
        <w:rPr>
          <w:rStyle w:val="s26"/>
          <w:rFonts w:ascii="Times New Roman" w:hAnsi="Times New Roman" w:cs="Times New Roman"/>
          <w:color w:val="000000"/>
        </w:rPr>
        <w:t>all of</w:t>
      </w:r>
      <w:r w:rsidRPr="00525B9A">
        <w:rPr>
          <w:rStyle w:val="apple-converted-space"/>
          <w:rFonts w:ascii="Times New Roman" w:hAnsi="Times New Roman" w:cs="Times New Roman"/>
          <w:color w:val="000000"/>
        </w:rPr>
        <w:t> </w:t>
      </w:r>
      <w:r w:rsidRPr="00525B9A">
        <w:rPr>
          <w:rStyle w:val="s26"/>
          <w:rFonts w:ascii="Times New Roman" w:hAnsi="Times New Roman" w:cs="Times New Roman"/>
          <w:color w:val="000000"/>
        </w:rPr>
        <w:t>the offences set out in [5] above when the defendant attempts to commit these offences or incites a child to engage in certain activity, but the activity does not take place</w:t>
      </w:r>
      <w:r w:rsidRPr="00525B9A">
        <w:rPr>
          <w:rStyle w:val="s2"/>
          <w:rFonts w:ascii="Times New Roman" w:hAnsi="Times New Roman" w:cs="Times New Roman"/>
          <w:color w:val="000000"/>
        </w:rPr>
        <w:t>. The harm should always be assessed in the first instance by reference to his or her intentions, followed by a</w:t>
      </w:r>
      <w:r w:rsidRPr="00525B9A">
        <w:rPr>
          <w:rStyle w:val="apple-converted-space"/>
          <w:rFonts w:ascii="Times New Roman" w:hAnsi="Times New Roman" w:cs="Times New Roman"/>
          <w:color w:val="000000"/>
        </w:rPr>
        <w:t> </w:t>
      </w:r>
      <w:r w:rsidRPr="00525B9A">
        <w:rPr>
          <w:rFonts w:ascii="Times New Roman" w:hAnsi="Times New Roman" w:cs="Times New Roman"/>
        </w:rPr>
        <w:t>downward movement from the starting point to reflect the fact that the sexual act did not occur, either because there was no real child or for any other reason.”</w:t>
      </w:r>
    </w:p>
    <w:p w14:paraId="5D951430" w14:textId="77777777" w:rsidR="00525B9A" w:rsidRPr="00525B9A" w:rsidRDefault="00525B9A" w:rsidP="00525B9A">
      <w:pPr>
        <w:pStyle w:val="ListParagraph"/>
        <w:spacing w:line="276" w:lineRule="auto"/>
        <w:rPr>
          <w:rFonts w:ascii="Times New Roman" w:hAnsi="Times New Roman" w:cs="Times New Roman"/>
        </w:rPr>
      </w:pPr>
    </w:p>
    <w:p w14:paraId="650DD7B5" w14:textId="155D10D8" w:rsidR="00525B9A" w:rsidRPr="00525B9A" w:rsidRDefault="00525B9A" w:rsidP="00525B9A">
      <w:pPr>
        <w:pStyle w:val="ListParagraph"/>
        <w:numPr>
          <w:ilvl w:val="0"/>
          <w:numId w:val="2"/>
        </w:numPr>
        <w:spacing w:after="0" w:line="276" w:lineRule="auto"/>
        <w:rPr>
          <w:rFonts w:ascii="Times New Roman" w:hAnsi="Times New Roman" w:cs="Times New Roman"/>
        </w:rPr>
      </w:pPr>
      <w:r w:rsidRPr="00525B9A">
        <w:rPr>
          <w:rFonts w:ascii="Times New Roman" w:hAnsi="Times New Roman" w:cs="Times New Roman"/>
        </w:rPr>
        <w:t xml:space="preserve">The extent of downward adjustment will depend on the facts of the case. Where an offender is only prevented from carrying out the offence at a late stage, or when the child victim did not exist and otherwise the offender would have carried out the offence, a small reduction within the category range will usually be appropriate. Where relevant, no additional reduction should be made for the fact that the offending is an attempt. </w:t>
      </w:r>
    </w:p>
    <w:p w14:paraId="2E5BDE20" w14:textId="77777777" w:rsidR="00525B9A" w:rsidRPr="00525B9A" w:rsidRDefault="00525B9A" w:rsidP="00525B9A">
      <w:pPr>
        <w:spacing w:after="0" w:line="276" w:lineRule="auto"/>
        <w:rPr>
          <w:rFonts w:ascii="Times New Roman" w:hAnsi="Times New Roman" w:cs="Times New Roman"/>
        </w:rPr>
      </w:pPr>
    </w:p>
    <w:p w14:paraId="5F192766" w14:textId="77777777" w:rsidR="00525B9A" w:rsidRPr="00525B9A" w:rsidRDefault="00525B9A" w:rsidP="00525B9A">
      <w:pPr>
        <w:pStyle w:val="ListParagraph"/>
        <w:numPr>
          <w:ilvl w:val="0"/>
          <w:numId w:val="2"/>
        </w:numPr>
        <w:spacing w:after="0" w:line="276" w:lineRule="auto"/>
        <w:rPr>
          <w:rFonts w:ascii="Times New Roman" w:hAnsi="Times New Roman" w:cs="Times New Roman"/>
          <w:u w:val="single"/>
        </w:rPr>
      </w:pPr>
      <w:r w:rsidRPr="00525B9A">
        <w:rPr>
          <w:rFonts w:ascii="Times New Roman" w:hAnsi="Times New Roman" w:cs="Times New Roman"/>
        </w:rPr>
        <w:t xml:space="preserve">But when an offender voluntarily desisted at an early stage, and particularly if the offending has been short-lived, a larger reduction is likely to be appropriate, potentially going outside the category range. </w:t>
      </w:r>
    </w:p>
    <w:p w14:paraId="63095C6E" w14:textId="77777777" w:rsidR="00525B9A" w:rsidRPr="00525B9A" w:rsidRDefault="00525B9A" w:rsidP="00525B9A">
      <w:pPr>
        <w:pStyle w:val="ListParagraph"/>
        <w:spacing w:line="276" w:lineRule="auto"/>
        <w:rPr>
          <w:rFonts w:ascii="Times New Roman" w:hAnsi="Times New Roman" w:cs="Times New Roman"/>
        </w:rPr>
      </w:pPr>
    </w:p>
    <w:p w14:paraId="3B4FEC4F" w14:textId="6E374541" w:rsidR="004C42FD" w:rsidRPr="00525B9A" w:rsidRDefault="00525B9A" w:rsidP="00525B9A">
      <w:pPr>
        <w:pStyle w:val="ListParagraph"/>
        <w:numPr>
          <w:ilvl w:val="0"/>
          <w:numId w:val="2"/>
        </w:numPr>
        <w:spacing w:after="0" w:line="276" w:lineRule="auto"/>
        <w:rPr>
          <w:rFonts w:ascii="Times New Roman" w:hAnsi="Times New Roman" w:cs="Times New Roman"/>
        </w:rPr>
      </w:pPr>
      <w:r w:rsidRPr="00525B9A">
        <w:rPr>
          <w:rFonts w:ascii="Times New Roman" w:hAnsi="Times New Roman" w:cs="Times New Roman"/>
        </w:rPr>
        <w:t xml:space="preserve">As indicated in </w:t>
      </w:r>
      <w:proofErr w:type="spellStart"/>
      <w:r w:rsidRPr="00525B9A">
        <w:rPr>
          <w:rFonts w:ascii="Times New Roman" w:hAnsi="Times New Roman" w:cs="Times New Roman"/>
          <w:i/>
          <w:iCs/>
        </w:rPr>
        <w:t>Privett</w:t>
      </w:r>
      <w:proofErr w:type="spellEnd"/>
      <w:r w:rsidRPr="00525B9A">
        <w:rPr>
          <w:rFonts w:ascii="Times New Roman" w:hAnsi="Times New Roman" w:cs="Times New Roman"/>
          <w:i/>
          <w:iCs/>
        </w:rPr>
        <w:t xml:space="preserve"> </w:t>
      </w:r>
      <w:r w:rsidRPr="00525B9A">
        <w:rPr>
          <w:rFonts w:ascii="Times New Roman" w:hAnsi="Times New Roman" w:cs="Times New Roman"/>
        </w:rPr>
        <w:t>at [72]</w:t>
      </w:r>
      <w:r w:rsidRPr="00525B9A">
        <w:rPr>
          <w:rFonts w:ascii="Times New Roman" w:hAnsi="Times New Roman" w:cs="Times New Roman"/>
          <w:i/>
          <w:iCs/>
        </w:rPr>
        <w:t xml:space="preserve">, </w:t>
      </w:r>
      <w:r w:rsidRPr="00525B9A">
        <w:rPr>
          <w:rFonts w:ascii="Times New Roman" w:hAnsi="Times New Roman" w:cs="Times New Roman"/>
        </w:rPr>
        <w:t>it may eventuate that a more severe sentence is imposed in a case where very serious sexual activity was intended but did not take place than in a case where relatively less serious sexual activity did take place.”</w:t>
      </w:r>
    </w:p>
    <w:p w14:paraId="5968B736" w14:textId="1A883FEF" w:rsidR="00525B9A" w:rsidRDefault="00525B9A" w:rsidP="00525B9A">
      <w:pPr>
        <w:spacing w:after="0" w:line="276" w:lineRule="auto"/>
        <w:rPr>
          <w:rFonts w:ascii="Times New Roman" w:hAnsi="Times New Roman" w:cs="Times New Roman"/>
          <w:sz w:val="24"/>
          <w:szCs w:val="24"/>
        </w:rPr>
      </w:pPr>
    </w:p>
    <w:p w14:paraId="780970F6" w14:textId="77777777" w:rsidR="00525B9A" w:rsidRPr="00525B9A" w:rsidRDefault="00525B9A" w:rsidP="00525B9A">
      <w:pPr>
        <w:spacing w:after="0" w:line="276" w:lineRule="auto"/>
        <w:rPr>
          <w:rFonts w:ascii="Times New Roman" w:hAnsi="Times New Roman" w:cs="Times New Roman"/>
          <w:sz w:val="24"/>
          <w:szCs w:val="24"/>
        </w:rPr>
      </w:pPr>
    </w:p>
    <w:p w14:paraId="2FEFFDCD" w14:textId="51A94FBE" w:rsidR="00525B9A" w:rsidRDefault="00281E48" w:rsidP="00525B9A">
      <w:pPr>
        <w:spacing w:line="276" w:lineRule="auto"/>
        <w:rPr>
          <w:rFonts w:ascii="Times New Roman" w:hAnsi="Times New Roman" w:cs="Times New Roman"/>
          <w:sz w:val="24"/>
          <w:szCs w:val="24"/>
        </w:rPr>
      </w:pPr>
      <w:r>
        <w:rPr>
          <w:rFonts w:ascii="Times New Roman" w:hAnsi="Times New Roman" w:cs="Times New Roman"/>
          <w:sz w:val="24"/>
          <w:szCs w:val="24"/>
        </w:rPr>
        <w:t xml:space="preserve">Although slightly different, both cases were monumental in providing the courts with guidance for how to approach the assessment of harm when there is no real child victim. </w:t>
      </w:r>
      <w:r w:rsidR="004C42FD">
        <w:rPr>
          <w:rFonts w:ascii="Times New Roman" w:hAnsi="Times New Roman" w:cs="Times New Roman"/>
          <w:sz w:val="24"/>
          <w:szCs w:val="24"/>
        </w:rPr>
        <w:t xml:space="preserve">Still, practitioners and the Court of Appeal have requested clarification from the Sentencing Council and asked for a revised guideline to be published covering these circumstances. </w:t>
      </w:r>
    </w:p>
    <w:p w14:paraId="0692F4F2" w14:textId="0E2FF3D4" w:rsidR="00525B9A" w:rsidRDefault="00525B9A" w:rsidP="00525B9A">
      <w:pPr>
        <w:spacing w:line="276" w:lineRule="auto"/>
        <w:rPr>
          <w:rFonts w:ascii="Times New Roman" w:hAnsi="Times New Roman" w:cs="Times New Roman"/>
          <w:sz w:val="24"/>
          <w:szCs w:val="24"/>
        </w:rPr>
      </w:pPr>
    </w:p>
    <w:p w14:paraId="60A9C1F6" w14:textId="2CB32FD4" w:rsidR="00281E48" w:rsidRPr="00281E48" w:rsidRDefault="00281E48" w:rsidP="00525B9A">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Revised guidelines</w:t>
      </w:r>
    </w:p>
    <w:p w14:paraId="6A18CB6B" w14:textId="252C893C" w:rsidR="00525B9A" w:rsidRDefault="00525B9A" w:rsidP="00525B9A">
      <w:pPr>
        <w:spacing w:line="276" w:lineRule="auto"/>
        <w:rPr>
          <w:rFonts w:ascii="Times New Roman" w:hAnsi="Times New Roman" w:cs="Times New Roman"/>
          <w:sz w:val="24"/>
          <w:szCs w:val="24"/>
        </w:rPr>
      </w:pPr>
      <w:r>
        <w:rPr>
          <w:rFonts w:ascii="Times New Roman" w:hAnsi="Times New Roman" w:cs="Times New Roman"/>
          <w:sz w:val="24"/>
          <w:szCs w:val="24"/>
        </w:rPr>
        <w:t>As of 31</w:t>
      </w:r>
      <w:r w:rsidRPr="00525B9A">
        <w:rPr>
          <w:rFonts w:ascii="Times New Roman" w:hAnsi="Times New Roman" w:cs="Times New Roman"/>
          <w:sz w:val="24"/>
          <w:szCs w:val="24"/>
          <w:vertAlign w:val="superscript"/>
        </w:rPr>
        <w:t>st</w:t>
      </w:r>
      <w:r>
        <w:rPr>
          <w:rFonts w:ascii="Times New Roman" w:hAnsi="Times New Roman" w:cs="Times New Roman"/>
          <w:sz w:val="24"/>
          <w:szCs w:val="24"/>
        </w:rPr>
        <w:t xml:space="preserve"> May 2022, we now have revised guidelines for the above offences, with more published guidelines coming our way.  The revisions cover:</w:t>
      </w:r>
    </w:p>
    <w:p w14:paraId="1EF219A8" w14:textId="71C32939" w:rsidR="00525B9A" w:rsidRDefault="00EF6E47" w:rsidP="00525B9A">
      <w:pPr>
        <w:pStyle w:val="ListParagraph"/>
        <w:numPr>
          <w:ilvl w:val="0"/>
          <w:numId w:val="1"/>
        </w:numPr>
        <w:shd w:val="clear" w:color="auto" w:fill="FFFFFF"/>
        <w:spacing w:before="100" w:beforeAutospacing="1" w:after="100" w:afterAutospacing="1" w:line="276" w:lineRule="auto"/>
        <w:rPr>
          <w:rFonts w:ascii="Times New Roman" w:eastAsia="Times New Roman" w:hAnsi="Times New Roman" w:cs="Times New Roman"/>
          <w:sz w:val="24"/>
          <w:szCs w:val="24"/>
          <w:lang w:eastAsia="en-GB"/>
        </w:rPr>
      </w:pPr>
      <w:hyperlink r:id="rId5" w:tgtFrame="_blank" w:history="1">
        <w:r w:rsidR="00525B9A" w:rsidRPr="00281E48">
          <w:rPr>
            <w:rFonts w:ascii="Times New Roman" w:eastAsia="Times New Roman" w:hAnsi="Times New Roman" w:cs="Times New Roman"/>
            <w:color w:val="2E74B5" w:themeColor="accent5" w:themeShade="BF"/>
            <w:sz w:val="24"/>
            <w:szCs w:val="24"/>
            <w:u w:val="single"/>
            <w:lang w:eastAsia="en-GB"/>
          </w:rPr>
          <w:t>Arranging or facilitating the commission of a child sex offence</w:t>
        </w:r>
      </w:hyperlink>
      <w:r w:rsidR="00525B9A" w:rsidRPr="00525B9A">
        <w:rPr>
          <w:rFonts w:ascii="Times New Roman" w:eastAsia="Times New Roman" w:hAnsi="Times New Roman" w:cs="Times New Roman"/>
          <w:color w:val="565656"/>
          <w:sz w:val="24"/>
          <w:szCs w:val="24"/>
          <w:lang w:eastAsia="en-GB"/>
        </w:rPr>
        <w:t> </w:t>
      </w:r>
      <w:r w:rsidR="00525B9A" w:rsidRPr="00525B9A">
        <w:rPr>
          <w:rFonts w:ascii="Times New Roman" w:eastAsia="Times New Roman" w:hAnsi="Times New Roman" w:cs="Times New Roman"/>
          <w:sz w:val="24"/>
          <w:szCs w:val="24"/>
          <w:lang w:eastAsia="en-GB"/>
        </w:rPr>
        <w:t>(s14 Sexual Offences Act 2003) even where no sexual activity takes place or no child victim exists. The maximum sentence depends on the activity being arranged but is life imprisonment if the rape of a child under 12 years old is being planned.</w:t>
      </w:r>
    </w:p>
    <w:p w14:paraId="67117441" w14:textId="77777777" w:rsidR="00525B9A" w:rsidRPr="00525B9A" w:rsidRDefault="00525B9A" w:rsidP="00525B9A">
      <w:pPr>
        <w:pStyle w:val="ListParagraph"/>
        <w:shd w:val="clear" w:color="auto" w:fill="FFFFFF"/>
        <w:spacing w:before="100" w:beforeAutospacing="1" w:after="100" w:afterAutospacing="1" w:line="276" w:lineRule="auto"/>
        <w:rPr>
          <w:rFonts w:ascii="Times New Roman" w:eastAsia="Times New Roman" w:hAnsi="Times New Roman" w:cs="Times New Roman"/>
          <w:sz w:val="24"/>
          <w:szCs w:val="24"/>
          <w:lang w:eastAsia="en-GB"/>
        </w:rPr>
      </w:pPr>
    </w:p>
    <w:p w14:paraId="1CB82333" w14:textId="24956BD8" w:rsidR="00525B9A" w:rsidRDefault="00EF6E47" w:rsidP="00525B9A">
      <w:pPr>
        <w:pStyle w:val="ListParagraph"/>
        <w:numPr>
          <w:ilvl w:val="0"/>
          <w:numId w:val="1"/>
        </w:numPr>
        <w:shd w:val="clear" w:color="auto" w:fill="FFFFFF"/>
        <w:spacing w:before="100" w:beforeAutospacing="1" w:after="100" w:afterAutospacing="1" w:line="276" w:lineRule="auto"/>
        <w:rPr>
          <w:rFonts w:ascii="Times New Roman" w:eastAsia="Times New Roman" w:hAnsi="Times New Roman" w:cs="Times New Roman"/>
          <w:sz w:val="24"/>
          <w:szCs w:val="24"/>
          <w:lang w:eastAsia="en-GB"/>
        </w:rPr>
      </w:pPr>
      <w:hyperlink r:id="rId6" w:tgtFrame="_blank" w:history="1">
        <w:r w:rsidR="00525B9A" w:rsidRPr="00281E48">
          <w:rPr>
            <w:rFonts w:ascii="Times New Roman" w:eastAsia="Times New Roman" w:hAnsi="Times New Roman" w:cs="Times New Roman"/>
            <w:color w:val="2E74B5" w:themeColor="accent5" w:themeShade="BF"/>
            <w:sz w:val="24"/>
            <w:szCs w:val="24"/>
            <w:u w:val="single"/>
            <w:lang w:eastAsia="en-GB"/>
          </w:rPr>
          <w:t>Causing or inciting a child to engage in sexual activity</w:t>
        </w:r>
      </w:hyperlink>
      <w:r w:rsidR="00525B9A" w:rsidRPr="00525B9A">
        <w:rPr>
          <w:rFonts w:ascii="Times New Roman" w:eastAsia="Times New Roman" w:hAnsi="Times New Roman" w:cs="Times New Roman"/>
          <w:color w:val="565656"/>
          <w:sz w:val="24"/>
          <w:szCs w:val="24"/>
          <w:lang w:eastAsia="en-GB"/>
        </w:rPr>
        <w:t> </w:t>
      </w:r>
      <w:r w:rsidR="00525B9A" w:rsidRPr="00525B9A">
        <w:rPr>
          <w:rFonts w:ascii="Times New Roman" w:eastAsia="Times New Roman" w:hAnsi="Times New Roman" w:cs="Times New Roman"/>
          <w:sz w:val="24"/>
          <w:szCs w:val="24"/>
          <w:lang w:eastAsia="en-GB"/>
        </w:rPr>
        <w:t>(s10 Sexual Offences Act 2003) and other similar offences, even where activity is incited but does not take place or no child victim exists. The maximum sentence is 14 years’ imprisonment.</w:t>
      </w:r>
    </w:p>
    <w:p w14:paraId="4E327A0E" w14:textId="77777777" w:rsidR="00D70C9A" w:rsidRDefault="00D70C9A" w:rsidP="00AD2F80">
      <w:pPr>
        <w:spacing w:line="276" w:lineRule="auto"/>
        <w:rPr>
          <w:rFonts w:ascii="Times New Roman" w:eastAsia="Times New Roman" w:hAnsi="Times New Roman" w:cs="Times New Roman"/>
          <w:sz w:val="24"/>
          <w:szCs w:val="24"/>
          <w:lang w:eastAsia="en-GB"/>
        </w:rPr>
      </w:pPr>
    </w:p>
    <w:p w14:paraId="292FB27F" w14:textId="6A9A3C4A" w:rsidR="00D70C9A" w:rsidRDefault="00D70C9A" w:rsidP="00AD2F80">
      <w:pPr>
        <w:spacing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per the new guidelines, the level of harm should be determined by reference to the type of activity arranged</w:t>
      </w:r>
      <w:r w:rsidR="0028437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facilitated</w:t>
      </w:r>
      <w:r w:rsidR="00284376">
        <w:rPr>
          <w:rFonts w:ascii="Times New Roman" w:eastAsia="Times New Roman" w:hAnsi="Times New Roman" w:cs="Times New Roman"/>
          <w:sz w:val="24"/>
          <w:szCs w:val="24"/>
          <w:lang w:eastAsia="en-GB"/>
        </w:rPr>
        <w:t>, caused, or incited</w:t>
      </w:r>
      <w:r>
        <w:rPr>
          <w:rFonts w:ascii="Times New Roman" w:eastAsia="Times New Roman" w:hAnsi="Times New Roman" w:cs="Times New Roman"/>
          <w:sz w:val="24"/>
          <w:szCs w:val="24"/>
          <w:lang w:eastAsia="en-GB"/>
        </w:rPr>
        <w:t xml:space="preserve">. </w:t>
      </w:r>
      <w:r w:rsidR="008E79DF">
        <w:rPr>
          <w:rFonts w:ascii="Times New Roman" w:eastAsia="Times New Roman" w:hAnsi="Times New Roman" w:cs="Times New Roman"/>
          <w:sz w:val="24"/>
          <w:szCs w:val="24"/>
          <w:lang w:eastAsia="en-GB"/>
        </w:rPr>
        <w:t xml:space="preserve">Where no sexual activity takes place, the court should identify the category of harm on the basis of the sexual activity the offender </w:t>
      </w:r>
      <w:r w:rsidR="00245E49">
        <w:rPr>
          <w:rFonts w:ascii="Times New Roman" w:eastAsia="Times New Roman" w:hAnsi="Times New Roman" w:cs="Times New Roman"/>
          <w:sz w:val="24"/>
          <w:szCs w:val="24"/>
          <w:lang w:eastAsia="en-GB"/>
        </w:rPr>
        <w:t xml:space="preserve">had </w:t>
      </w:r>
      <w:r w:rsidR="008E79DF">
        <w:rPr>
          <w:rFonts w:ascii="Times New Roman" w:eastAsia="Times New Roman" w:hAnsi="Times New Roman" w:cs="Times New Roman"/>
          <w:sz w:val="24"/>
          <w:szCs w:val="24"/>
          <w:lang w:eastAsia="en-GB"/>
        </w:rPr>
        <w:t xml:space="preserve">intended, and a downward adjustment at step 2 should be applied to reflect the fact no harm or lesser harm </w:t>
      </w:r>
      <w:r w:rsidR="00141EB1">
        <w:rPr>
          <w:rFonts w:ascii="Times New Roman" w:eastAsia="Times New Roman" w:hAnsi="Times New Roman" w:cs="Times New Roman"/>
          <w:sz w:val="24"/>
          <w:szCs w:val="24"/>
          <w:lang w:eastAsia="en-GB"/>
        </w:rPr>
        <w:t>occurred</w:t>
      </w:r>
      <w:r w:rsidR="008E79DF">
        <w:rPr>
          <w:rFonts w:ascii="Times New Roman" w:eastAsia="Times New Roman" w:hAnsi="Times New Roman" w:cs="Times New Roman"/>
          <w:sz w:val="24"/>
          <w:szCs w:val="24"/>
          <w:lang w:eastAsia="en-GB"/>
        </w:rPr>
        <w:t xml:space="preserve">. </w:t>
      </w:r>
      <w:r w:rsidR="00621DB0">
        <w:rPr>
          <w:rFonts w:ascii="Times New Roman" w:eastAsia="Times New Roman" w:hAnsi="Times New Roman" w:cs="Times New Roman"/>
          <w:sz w:val="24"/>
          <w:szCs w:val="24"/>
          <w:lang w:eastAsia="en-GB"/>
        </w:rPr>
        <w:t>The adjustment is to be determined by the specific facts of the case.</w:t>
      </w:r>
      <w:r w:rsidR="00DB40E4">
        <w:rPr>
          <w:rFonts w:ascii="Times New Roman" w:eastAsia="Times New Roman" w:hAnsi="Times New Roman" w:cs="Times New Roman"/>
          <w:sz w:val="24"/>
          <w:szCs w:val="24"/>
          <w:lang w:eastAsia="en-GB"/>
        </w:rPr>
        <w:t xml:space="preserve"> The sentence will then be subject to adjustment by the aggravating and mitigating features</w:t>
      </w:r>
      <w:r w:rsidR="003F16F3">
        <w:rPr>
          <w:rFonts w:ascii="Times New Roman" w:eastAsia="Times New Roman" w:hAnsi="Times New Roman" w:cs="Times New Roman"/>
          <w:sz w:val="24"/>
          <w:szCs w:val="24"/>
          <w:lang w:eastAsia="en-GB"/>
        </w:rPr>
        <w:t>, as it would ordinarily be</w:t>
      </w:r>
      <w:r w:rsidR="00DB40E4">
        <w:rPr>
          <w:rFonts w:ascii="Times New Roman" w:eastAsia="Times New Roman" w:hAnsi="Times New Roman" w:cs="Times New Roman"/>
          <w:sz w:val="24"/>
          <w:szCs w:val="24"/>
          <w:lang w:eastAsia="en-GB"/>
        </w:rPr>
        <w:t xml:space="preserve">. </w:t>
      </w:r>
      <w:r w:rsidR="00621DB0">
        <w:rPr>
          <w:rFonts w:ascii="Times New Roman" w:eastAsia="Times New Roman" w:hAnsi="Times New Roman" w:cs="Times New Roman"/>
          <w:sz w:val="24"/>
          <w:szCs w:val="24"/>
          <w:lang w:eastAsia="en-GB"/>
        </w:rPr>
        <w:t xml:space="preserve"> </w:t>
      </w:r>
      <w:r w:rsidR="00DB40E4">
        <w:rPr>
          <w:rFonts w:ascii="Times New Roman" w:eastAsia="Times New Roman" w:hAnsi="Times New Roman" w:cs="Times New Roman"/>
          <w:sz w:val="24"/>
          <w:szCs w:val="24"/>
          <w:lang w:eastAsia="en-GB"/>
        </w:rPr>
        <w:t>In cases w</w:t>
      </w:r>
      <w:r>
        <w:rPr>
          <w:rFonts w:ascii="Times New Roman" w:eastAsia="Times New Roman" w:hAnsi="Times New Roman" w:cs="Times New Roman"/>
          <w:sz w:val="24"/>
          <w:szCs w:val="24"/>
          <w:lang w:eastAsia="en-GB"/>
        </w:rPr>
        <w:t xml:space="preserve">here the activity actually </w:t>
      </w:r>
      <w:r w:rsidR="008063C5">
        <w:rPr>
          <w:rFonts w:ascii="Times New Roman" w:eastAsia="Times New Roman" w:hAnsi="Times New Roman" w:cs="Times New Roman"/>
          <w:sz w:val="24"/>
          <w:szCs w:val="24"/>
          <w:lang w:eastAsia="en-GB"/>
        </w:rPr>
        <w:t xml:space="preserve">does </w:t>
      </w:r>
      <w:r>
        <w:rPr>
          <w:rFonts w:ascii="Times New Roman" w:eastAsia="Times New Roman" w:hAnsi="Times New Roman" w:cs="Times New Roman"/>
          <w:sz w:val="24"/>
          <w:szCs w:val="24"/>
          <w:lang w:eastAsia="en-GB"/>
        </w:rPr>
        <w:t xml:space="preserve">takes place, sentences commensurate with the applicable starting point and range will </w:t>
      </w:r>
      <w:r w:rsidR="00AA144B">
        <w:rPr>
          <w:rFonts w:ascii="Times New Roman" w:eastAsia="Times New Roman" w:hAnsi="Times New Roman" w:cs="Times New Roman"/>
          <w:sz w:val="24"/>
          <w:szCs w:val="24"/>
          <w:lang w:eastAsia="en-GB"/>
        </w:rPr>
        <w:t xml:space="preserve">likely </w:t>
      </w:r>
      <w:r>
        <w:rPr>
          <w:rFonts w:ascii="Times New Roman" w:eastAsia="Times New Roman" w:hAnsi="Times New Roman" w:cs="Times New Roman"/>
          <w:sz w:val="24"/>
          <w:szCs w:val="24"/>
          <w:lang w:eastAsia="en-GB"/>
        </w:rPr>
        <w:t xml:space="preserve">be appropriate. </w:t>
      </w:r>
    </w:p>
    <w:p w14:paraId="0A117B52" w14:textId="77777777" w:rsidR="00D70C9A" w:rsidRPr="00D70C9A" w:rsidRDefault="00D70C9A" w:rsidP="00AD2F80">
      <w:pPr>
        <w:spacing w:line="276" w:lineRule="auto"/>
        <w:rPr>
          <w:rFonts w:ascii="Times New Roman" w:eastAsia="Times New Roman" w:hAnsi="Times New Roman" w:cs="Times New Roman"/>
          <w:sz w:val="24"/>
          <w:szCs w:val="24"/>
          <w:lang w:eastAsia="en-GB"/>
        </w:rPr>
      </w:pPr>
    </w:p>
    <w:p w14:paraId="7214078D" w14:textId="256BF1C7" w:rsidR="00525B9A" w:rsidRDefault="00583024" w:rsidP="00AD2F80">
      <w:pPr>
        <w:shd w:val="clear" w:color="auto" w:fill="FFFFFF"/>
        <w:spacing w:before="100" w:beforeAutospacing="1" w:after="100" w:afterAutospacing="1"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Additionally, from 1</w:t>
      </w:r>
      <w:r w:rsidRPr="00583024">
        <w:rPr>
          <w:rFonts w:ascii="Times New Roman" w:eastAsia="Times New Roman" w:hAnsi="Times New Roman" w:cs="Times New Roman"/>
          <w:sz w:val="24"/>
          <w:szCs w:val="24"/>
          <w:vertAlign w:val="superscript"/>
          <w:lang w:eastAsia="en-GB"/>
        </w:rPr>
        <w:t>st</w:t>
      </w:r>
      <w:r>
        <w:rPr>
          <w:rFonts w:ascii="Times New Roman" w:eastAsia="Times New Roman" w:hAnsi="Times New Roman" w:cs="Times New Roman"/>
          <w:sz w:val="24"/>
          <w:szCs w:val="24"/>
          <w:lang w:eastAsia="en-GB"/>
        </w:rPr>
        <w:t xml:space="preserve"> July 2022, we will have new guidelines for sexual communication with a child under s.15A Sexual Offences Act 2003. There will be a maximum penalty of 2 years custody for sharing images, causing psychological harm, abuse of trust, or the use of threats or bribes. </w:t>
      </w:r>
    </w:p>
    <w:p w14:paraId="2D9463E2" w14:textId="77777777" w:rsidR="003B3EFA" w:rsidRPr="003B3EFA" w:rsidRDefault="003B3EFA" w:rsidP="00AD2F80">
      <w:pPr>
        <w:shd w:val="clear" w:color="auto" w:fill="FFFFFF"/>
        <w:spacing w:before="100" w:beforeAutospacing="1" w:after="100" w:afterAutospacing="1" w:line="276" w:lineRule="auto"/>
        <w:rPr>
          <w:rFonts w:ascii="Times New Roman" w:eastAsia="Times New Roman" w:hAnsi="Times New Roman" w:cs="Times New Roman"/>
          <w:sz w:val="24"/>
          <w:szCs w:val="24"/>
          <w:lang w:eastAsia="en-GB"/>
        </w:rPr>
      </w:pPr>
    </w:p>
    <w:p w14:paraId="47B0E88F" w14:textId="63F6D463" w:rsidR="00281E48" w:rsidRDefault="00281E48" w:rsidP="00AD2F80">
      <w:pPr>
        <w:spacing w:line="276" w:lineRule="auto"/>
        <w:rPr>
          <w:rFonts w:ascii="Times New Roman" w:hAnsi="Times New Roman" w:cs="Times New Roman"/>
          <w:sz w:val="24"/>
          <w:szCs w:val="24"/>
        </w:rPr>
      </w:pPr>
      <w:r>
        <w:rPr>
          <w:rFonts w:ascii="Times New Roman" w:hAnsi="Times New Roman" w:cs="Times New Roman"/>
          <w:sz w:val="24"/>
          <w:szCs w:val="24"/>
        </w:rPr>
        <w:t>The publication of these revised guidelines</w:t>
      </w:r>
      <w:r w:rsidR="00E04630">
        <w:rPr>
          <w:rFonts w:ascii="Times New Roman" w:hAnsi="Times New Roman" w:cs="Times New Roman"/>
          <w:sz w:val="24"/>
          <w:szCs w:val="24"/>
        </w:rPr>
        <w:t xml:space="preserve"> is clearly a positive step from a practitioners’ perspective and </w:t>
      </w:r>
      <w:r w:rsidR="003B3EFA">
        <w:rPr>
          <w:rFonts w:ascii="Times New Roman" w:hAnsi="Times New Roman" w:cs="Times New Roman"/>
          <w:sz w:val="24"/>
          <w:szCs w:val="24"/>
        </w:rPr>
        <w:t>should</w:t>
      </w:r>
      <w:r>
        <w:rPr>
          <w:rFonts w:ascii="Times New Roman" w:hAnsi="Times New Roman" w:cs="Times New Roman"/>
          <w:sz w:val="24"/>
          <w:szCs w:val="24"/>
        </w:rPr>
        <w:t xml:space="preserve"> now provide greater clarity to the courts and more consistency moving forward.</w:t>
      </w:r>
    </w:p>
    <w:p w14:paraId="738FF53F" w14:textId="77777777" w:rsidR="003C6FC6" w:rsidRDefault="003C6FC6" w:rsidP="00525B9A">
      <w:pPr>
        <w:spacing w:line="276" w:lineRule="auto"/>
        <w:rPr>
          <w:rFonts w:ascii="Times New Roman" w:hAnsi="Times New Roman" w:cs="Times New Roman"/>
          <w:sz w:val="24"/>
          <w:szCs w:val="24"/>
        </w:rPr>
      </w:pPr>
    </w:p>
    <w:p w14:paraId="1D8DCD03" w14:textId="77777777" w:rsidR="003C6FC6" w:rsidRDefault="003C6FC6" w:rsidP="00525B9A">
      <w:pPr>
        <w:spacing w:line="276" w:lineRule="auto"/>
        <w:rPr>
          <w:rFonts w:ascii="Times New Roman" w:hAnsi="Times New Roman" w:cs="Times New Roman"/>
          <w:sz w:val="24"/>
          <w:szCs w:val="24"/>
        </w:rPr>
      </w:pPr>
    </w:p>
    <w:p w14:paraId="1C79DD19" w14:textId="77777777" w:rsidR="003C6FC6" w:rsidRPr="000E5976" w:rsidRDefault="003C6FC6" w:rsidP="003C6FC6">
      <w:pPr>
        <w:spacing w:line="360" w:lineRule="auto"/>
        <w:rPr>
          <w:rFonts w:ascii="Times New Roman" w:hAnsi="Times New Roman" w:cs="Times New Roman"/>
          <w:b/>
          <w:bCs/>
          <w:sz w:val="24"/>
          <w:szCs w:val="24"/>
        </w:rPr>
      </w:pPr>
      <w:r w:rsidRPr="000E5976">
        <w:rPr>
          <w:rFonts w:ascii="Times New Roman" w:hAnsi="Times New Roman" w:cs="Times New Roman"/>
          <w:b/>
          <w:bCs/>
          <w:sz w:val="24"/>
          <w:szCs w:val="24"/>
        </w:rPr>
        <w:t>Holly Thompson</w:t>
      </w:r>
    </w:p>
    <w:p w14:paraId="0A23C5D4" w14:textId="77777777" w:rsidR="003C6FC6" w:rsidRDefault="003C6FC6" w:rsidP="003C6FC6">
      <w:pPr>
        <w:spacing w:line="360" w:lineRule="auto"/>
        <w:rPr>
          <w:rFonts w:ascii="Times New Roman" w:hAnsi="Times New Roman" w:cs="Times New Roman"/>
          <w:sz w:val="24"/>
          <w:szCs w:val="24"/>
        </w:rPr>
      </w:pPr>
      <w:r>
        <w:rPr>
          <w:rFonts w:ascii="Times New Roman" w:hAnsi="Times New Roman" w:cs="Times New Roman"/>
          <w:sz w:val="24"/>
          <w:szCs w:val="24"/>
        </w:rPr>
        <w:t>Pupil Barrister</w:t>
      </w:r>
    </w:p>
    <w:p w14:paraId="1968FCE8" w14:textId="77777777" w:rsidR="003C6FC6" w:rsidRPr="00462078" w:rsidRDefault="003C6FC6" w:rsidP="003C6FC6">
      <w:pPr>
        <w:spacing w:line="360" w:lineRule="auto"/>
        <w:rPr>
          <w:rFonts w:ascii="Times New Roman" w:hAnsi="Times New Roman" w:cs="Times New Roman"/>
          <w:sz w:val="24"/>
          <w:szCs w:val="24"/>
        </w:rPr>
      </w:pPr>
      <w:r>
        <w:rPr>
          <w:rFonts w:ascii="Times New Roman" w:hAnsi="Times New Roman" w:cs="Times New Roman"/>
          <w:sz w:val="24"/>
          <w:szCs w:val="24"/>
        </w:rPr>
        <w:t>Wilberforce Barristers</w:t>
      </w:r>
    </w:p>
    <w:p w14:paraId="43352F6F" w14:textId="77777777" w:rsidR="003C6FC6" w:rsidRPr="00612117" w:rsidRDefault="003C6FC6" w:rsidP="00525B9A">
      <w:pPr>
        <w:spacing w:line="276" w:lineRule="auto"/>
        <w:rPr>
          <w:rFonts w:ascii="Times New Roman" w:hAnsi="Times New Roman" w:cs="Times New Roman"/>
          <w:sz w:val="24"/>
          <w:szCs w:val="24"/>
        </w:rPr>
      </w:pPr>
    </w:p>
    <w:sectPr w:rsidR="003C6FC6" w:rsidRPr="00612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616"/>
    <w:multiLevelType w:val="hybridMultilevel"/>
    <w:tmpl w:val="F0E2CD0A"/>
    <w:lvl w:ilvl="0" w:tplc="B13E3E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17A0B"/>
    <w:multiLevelType w:val="multilevel"/>
    <w:tmpl w:val="992499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BE785B"/>
    <w:multiLevelType w:val="hybridMultilevel"/>
    <w:tmpl w:val="40B0314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0971917">
    <w:abstractNumId w:val="0"/>
  </w:num>
  <w:num w:numId="2" w16cid:durableId="1411465572">
    <w:abstractNumId w:val="2"/>
  </w:num>
  <w:num w:numId="3" w16cid:durableId="1804536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11"/>
    <w:rsid w:val="00141EB1"/>
    <w:rsid w:val="00193EFB"/>
    <w:rsid w:val="001B4F8E"/>
    <w:rsid w:val="001D008B"/>
    <w:rsid w:val="00245E49"/>
    <w:rsid w:val="00281E48"/>
    <w:rsid w:val="00284376"/>
    <w:rsid w:val="002A3DC9"/>
    <w:rsid w:val="003B3EFA"/>
    <w:rsid w:val="003C6FC6"/>
    <w:rsid w:val="003F16F3"/>
    <w:rsid w:val="004C42FD"/>
    <w:rsid w:val="00525B9A"/>
    <w:rsid w:val="00583024"/>
    <w:rsid w:val="00612117"/>
    <w:rsid w:val="00621DB0"/>
    <w:rsid w:val="007B5594"/>
    <w:rsid w:val="008063C5"/>
    <w:rsid w:val="008E79DF"/>
    <w:rsid w:val="00AA144B"/>
    <w:rsid w:val="00AD2F80"/>
    <w:rsid w:val="00BA1559"/>
    <w:rsid w:val="00CB5A11"/>
    <w:rsid w:val="00D70C9A"/>
    <w:rsid w:val="00DB40E4"/>
    <w:rsid w:val="00E04630"/>
    <w:rsid w:val="00E63054"/>
    <w:rsid w:val="00EF6E47"/>
    <w:rsid w:val="00F97D91"/>
    <w:rsid w:val="00FB1EF2"/>
    <w:rsid w:val="00FE2B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E192"/>
  <w15:chartTrackingRefBased/>
  <w15:docId w15:val="{FA3E1AF1-CF87-45BA-9EA8-BA132180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559"/>
    <w:pPr>
      <w:ind w:left="720"/>
      <w:contextualSpacing/>
    </w:pPr>
  </w:style>
  <w:style w:type="character" w:customStyle="1" w:styleId="apple-converted-space">
    <w:name w:val="apple-converted-space"/>
    <w:basedOn w:val="DefaultParagraphFont"/>
    <w:rsid w:val="00525B9A"/>
  </w:style>
  <w:style w:type="character" w:customStyle="1" w:styleId="s2">
    <w:name w:val="s2"/>
    <w:basedOn w:val="DefaultParagraphFont"/>
    <w:rsid w:val="00525B9A"/>
  </w:style>
  <w:style w:type="character" w:customStyle="1" w:styleId="s26">
    <w:name w:val="s26"/>
    <w:basedOn w:val="DefaultParagraphFont"/>
    <w:rsid w:val="00525B9A"/>
  </w:style>
  <w:style w:type="character" w:customStyle="1" w:styleId="s27">
    <w:name w:val="s27"/>
    <w:basedOn w:val="DefaultParagraphFont"/>
    <w:rsid w:val="00525B9A"/>
  </w:style>
  <w:style w:type="character" w:customStyle="1" w:styleId="s28">
    <w:name w:val="s28"/>
    <w:basedOn w:val="DefaultParagraphFont"/>
    <w:rsid w:val="00525B9A"/>
  </w:style>
  <w:style w:type="character" w:styleId="Hyperlink">
    <w:name w:val="Hyperlink"/>
    <w:basedOn w:val="DefaultParagraphFont"/>
    <w:uiPriority w:val="99"/>
    <w:semiHidden/>
    <w:unhideWhenUsed/>
    <w:rsid w:val="00525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ntencingcouncil.org.uk/offences/crown-court/item/sexual-activity-with-a-child/" TargetMode="External"/><Relationship Id="rId5" Type="http://schemas.openxmlformats.org/officeDocument/2006/relationships/hyperlink" Target="https://www.sentencingcouncil.org.uk/offences/crown-court/item/arranging-or-facilitating-the-commission-of-a-child-sex-off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Thompson</dc:creator>
  <cp:keywords/>
  <dc:description/>
  <cp:lastModifiedBy>Wayne Stevens</cp:lastModifiedBy>
  <cp:revision>2</cp:revision>
  <dcterms:created xsi:type="dcterms:W3CDTF">2022-06-09T16:25:00Z</dcterms:created>
  <dcterms:modified xsi:type="dcterms:W3CDTF">2022-06-09T16:25:00Z</dcterms:modified>
</cp:coreProperties>
</file>