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B783" w14:textId="16189EF0" w:rsidR="00832B13" w:rsidRPr="00CE1B38" w:rsidRDefault="0071531A" w:rsidP="00CE1B3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Prosecutions for </w:t>
      </w:r>
      <w:r w:rsidR="004C26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“Non-fatal strangulation </w:t>
      </w:r>
      <w:r w:rsidR="000C48CF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="004C26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non-fatal suffocation” – A positive step?</w:t>
      </w:r>
    </w:p>
    <w:p w14:paraId="29B09796" w14:textId="76B430C0" w:rsidR="00CE1B38" w:rsidRPr="00CE1B38" w:rsidRDefault="00CE1B38" w:rsidP="00CE1B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89DE49" w14:textId="13354460" w:rsidR="004D55EC" w:rsidRDefault="00351922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o</w:t>
      </w:r>
      <w:r w:rsidR="00DE2F94">
        <w:rPr>
          <w:rFonts w:ascii="Times New Roman" w:hAnsi="Times New Roman" w:cs="Times New Roman"/>
          <w:sz w:val="24"/>
          <w:szCs w:val="24"/>
        </w:rPr>
        <w:t xml:space="preserve">ften in our courts, we prosecute and defend matters of domestic violence, </w:t>
      </w:r>
      <w:r>
        <w:rPr>
          <w:rFonts w:ascii="Times New Roman" w:hAnsi="Times New Roman" w:cs="Times New Roman"/>
          <w:sz w:val="24"/>
          <w:szCs w:val="24"/>
        </w:rPr>
        <w:t xml:space="preserve">committed </w:t>
      </w:r>
      <w:r w:rsidR="00DE2F94">
        <w:rPr>
          <w:rFonts w:ascii="Times New Roman" w:hAnsi="Times New Roman" w:cs="Times New Roman"/>
          <w:sz w:val="24"/>
          <w:szCs w:val="24"/>
        </w:rPr>
        <w:t xml:space="preserve">by one partner against </w:t>
      </w:r>
      <w:r>
        <w:rPr>
          <w:rFonts w:ascii="Times New Roman" w:hAnsi="Times New Roman" w:cs="Times New Roman"/>
          <w:sz w:val="24"/>
          <w:szCs w:val="24"/>
        </w:rPr>
        <w:t>their significant other</w:t>
      </w:r>
      <w:r w:rsidR="00DE2F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sentencing these Offences against the Person, such as s.47 or Assault by beating, Judges or benches of Magistrates’ will often take into account</w:t>
      </w:r>
      <w:r w:rsidR="00B0054D">
        <w:rPr>
          <w:rFonts w:ascii="Times New Roman" w:hAnsi="Times New Roman" w:cs="Times New Roman"/>
          <w:sz w:val="24"/>
          <w:szCs w:val="24"/>
        </w:rPr>
        <w:t xml:space="preserve"> in their decisions</w:t>
      </w:r>
      <w:r>
        <w:rPr>
          <w:rFonts w:ascii="Times New Roman" w:hAnsi="Times New Roman" w:cs="Times New Roman"/>
          <w:sz w:val="24"/>
          <w:szCs w:val="24"/>
        </w:rPr>
        <w:t xml:space="preserve"> the domestic violence guidelines and specific aggravating features</w:t>
      </w:r>
      <w:r w:rsidR="00B005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such as strangulation, suffocation, and asphyxiation. </w:t>
      </w:r>
      <w:r w:rsidR="003C376C">
        <w:rPr>
          <w:rFonts w:ascii="Times New Roman" w:hAnsi="Times New Roman" w:cs="Times New Roman"/>
          <w:sz w:val="24"/>
          <w:szCs w:val="24"/>
        </w:rPr>
        <w:t xml:space="preserve">However, </w:t>
      </w:r>
      <w:r w:rsidR="008A4A68">
        <w:rPr>
          <w:rFonts w:ascii="Times New Roman" w:hAnsi="Times New Roman" w:cs="Times New Roman"/>
          <w:sz w:val="24"/>
          <w:szCs w:val="24"/>
        </w:rPr>
        <w:t>as of 7</w:t>
      </w:r>
      <w:r w:rsidR="008A4A68" w:rsidRPr="008A4A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4A68">
        <w:rPr>
          <w:rFonts w:ascii="Times New Roman" w:hAnsi="Times New Roman" w:cs="Times New Roman"/>
          <w:sz w:val="24"/>
          <w:szCs w:val="24"/>
        </w:rPr>
        <w:t xml:space="preserve"> June 2022,</w:t>
      </w:r>
      <w:r w:rsidR="00E137B2">
        <w:rPr>
          <w:rFonts w:ascii="Times New Roman" w:hAnsi="Times New Roman" w:cs="Times New Roman"/>
          <w:sz w:val="24"/>
          <w:szCs w:val="24"/>
        </w:rPr>
        <w:t xml:space="preserve"> two</w:t>
      </w:r>
      <w:r w:rsidR="008A4A68">
        <w:rPr>
          <w:rFonts w:ascii="Times New Roman" w:hAnsi="Times New Roman" w:cs="Times New Roman"/>
          <w:sz w:val="24"/>
          <w:szCs w:val="24"/>
        </w:rPr>
        <w:t xml:space="preserve"> </w:t>
      </w:r>
      <w:r w:rsidR="001515A0">
        <w:rPr>
          <w:rFonts w:ascii="Times New Roman" w:hAnsi="Times New Roman" w:cs="Times New Roman"/>
          <w:sz w:val="24"/>
          <w:szCs w:val="24"/>
        </w:rPr>
        <w:t xml:space="preserve">specific </w:t>
      </w:r>
      <w:r w:rsidR="008A4A68">
        <w:rPr>
          <w:rFonts w:ascii="Times New Roman" w:hAnsi="Times New Roman" w:cs="Times New Roman"/>
          <w:sz w:val="24"/>
          <w:szCs w:val="24"/>
        </w:rPr>
        <w:t>offence</w:t>
      </w:r>
      <w:r w:rsidR="00E137B2">
        <w:rPr>
          <w:rFonts w:ascii="Times New Roman" w:hAnsi="Times New Roman" w:cs="Times New Roman"/>
          <w:sz w:val="24"/>
          <w:szCs w:val="24"/>
        </w:rPr>
        <w:t>s</w:t>
      </w:r>
      <w:r w:rsidR="008A4A68">
        <w:rPr>
          <w:rFonts w:ascii="Times New Roman" w:hAnsi="Times New Roman" w:cs="Times New Roman"/>
          <w:sz w:val="24"/>
          <w:szCs w:val="24"/>
        </w:rPr>
        <w:t xml:space="preserve"> of “non-fatal strangulation” </w:t>
      </w:r>
      <w:r w:rsidR="00E137B2">
        <w:rPr>
          <w:rFonts w:ascii="Times New Roman" w:hAnsi="Times New Roman" w:cs="Times New Roman"/>
          <w:sz w:val="24"/>
          <w:szCs w:val="24"/>
        </w:rPr>
        <w:t>and “non-fatal suffocation” have</w:t>
      </w:r>
      <w:r w:rsidR="008A4A68">
        <w:rPr>
          <w:rFonts w:ascii="Times New Roman" w:hAnsi="Times New Roman" w:cs="Times New Roman"/>
          <w:sz w:val="24"/>
          <w:szCs w:val="24"/>
        </w:rPr>
        <w:t xml:space="preserve"> been implemented into our justice system</w:t>
      </w:r>
      <w:r w:rsidR="001515A0">
        <w:rPr>
          <w:rFonts w:ascii="Times New Roman" w:hAnsi="Times New Roman" w:cs="Times New Roman"/>
          <w:sz w:val="24"/>
          <w:szCs w:val="24"/>
        </w:rPr>
        <w:t>, as part of the government’s introduction of the Domestic Abuse Act.</w:t>
      </w:r>
      <w:r w:rsidR="008A4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32E84" w14:textId="77777777" w:rsidR="00351922" w:rsidRDefault="00351922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712988" w14:textId="4FAAF32B" w:rsidR="00AE308F" w:rsidRPr="000E0FF6" w:rsidRDefault="000E0FF6" w:rsidP="00CE1B3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does it say?</w:t>
      </w:r>
    </w:p>
    <w:p w14:paraId="5FFC3ED0" w14:textId="6CD71D6B" w:rsidR="00CE1B38" w:rsidRPr="00CE1B38" w:rsidRDefault="00CE1B38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B38">
        <w:rPr>
          <w:rFonts w:ascii="Times New Roman" w:hAnsi="Times New Roman" w:cs="Times New Roman"/>
          <w:sz w:val="24"/>
          <w:szCs w:val="24"/>
        </w:rPr>
        <w:t xml:space="preserve">Section 70 of the Domestic Abuse Act 2021, which </w:t>
      </w:r>
      <w:r w:rsidR="001515A0">
        <w:rPr>
          <w:rFonts w:ascii="Times New Roman" w:hAnsi="Times New Roman" w:cs="Times New Roman"/>
          <w:sz w:val="24"/>
          <w:szCs w:val="24"/>
        </w:rPr>
        <w:t>came</w:t>
      </w:r>
      <w:r w:rsidRPr="00CE1B38">
        <w:rPr>
          <w:rFonts w:ascii="Times New Roman" w:hAnsi="Times New Roman" w:cs="Times New Roman"/>
          <w:sz w:val="24"/>
          <w:szCs w:val="24"/>
        </w:rPr>
        <w:t xml:space="preserve"> into force on </w:t>
      </w:r>
      <w:r w:rsidR="00AF618C">
        <w:rPr>
          <w:rFonts w:ascii="Times New Roman" w:hAnsi="Times New Roman" w:cs="Times New Roman"/>
          <w:sz w:val="24"/>
          <w:szCs w:val="24"/>
        </w:rPr>
        <w:t>7</w:t>
      </w:r>
      <w:r w:rsidR="00AF618C" w:rsidRPr="00AF61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618C">
        <w:rPr>
          <w:rFonts w:ascii="Times New Roman" w:hAnsi="Times New Roman" w:cs="Times New Roman"/>
          <w:sz w:val="24"/>
          <w:szCs w:val="24"/>
        </w:rPr>
        <w:t xml:space="preserve"> June 2022</w:t>
      </w:r>
      <w:r w:rsidRPr="00CE1B38">
        <w:rPr>
          <w:rFonts w:ascii="Times New Roman" w:hAnsi="Times New Roman" w:cs="Times New Roman"/>
          <w:sz w:val="24"/>
          <w:szCs w:val="24"/>
        </w:rPr>
        <w:t>,</w:t>
      </w:r>
      <w:r w:rsidR="001515A0">
        <w:rPr>
          <w:rFonts w:ascii="Times New Roman" w:hAnsi="Times New Roman" w:cs="Times New Roman"/>
          <w:sz w:val="24"/>
          <w:szCs w:val="24"/>
        </w:rPr>
        <w:t xml:space="preserve"> </w:t>
      </w:r>
      <w:r w:rsidRPr="00CE1B38">
        <w:rPr>
          <w:rFonts w:ascii="Times New Roman" w:hAnsi="Times New Roman" w:cs="Times New Roman"/>
          <w:sz w:val="24"/>
          <w:szCs w:val="24"/>
        </w:rPr>
        <w:t>substitute</w:t>
      </w:r>
      <w:r w:rsidR="00C771DA">
        <w:rPr>
          <w:rFonts w:ascii="Times New Roman" w:hAnsi="Times New Roman" w:cs="Times New Roman"/>
          <w:sz w:val="24"/>
          <w:szCs w:val="24"/>
        </w:rPr>
        <w:t>d</w:t>
      </w:r>
      <w:r w:rsidRPr="00CE1B38">
        <w:rPr>
          <w:rFonts w:ascii="Times New Roman" w:hAnsi="Times New Roman" w:cs="Times New Roman"/>
          <w:sz w:val="24"/>
          <w:szCs w:val="24"/>
        </w:rPr>
        <w:t xml:space="preserve"> </w:t>
      </w:r>
      <w:r w:rsidR="00DE2F94" w:rsidRPr="00CE1B38">
        <w:rPr>
          <w:rFonts w:ascii="Times New Roman" w:hAnsi="Times New Roman" w:cs="Times New Roman"/>
          <w:sz w:val="24"/>
          <w:szCs w:val="24"/>
        </w:rPr>
        <w:t xml:space="preserve">s.75A </w:t>
      </w:r>
      <w:r w:rsidRPr="00CE1B38">
        <w:rPr>
          <w:rFonts w:ascii="Times New Roman" w:hAnsi="Times New Roman" w:cs="Times New Roman"/>
          <w:sz w:val="24"/>
          <w:szCs w:val="24"/>
        </w:rPr>
        <w:t>into the Serious Crime Act 201</w:t>
      </w:r>
      <w:r w:rsidR="00967A81">
        <w:rPr>
          <w:rFonts w:ascii="Times New Roman" w:hAnsi="Times New Roman" w:cs="Times New Roman"/>
          <w:sz w:val="24"/>
          <w:szCs w:val="24"/>
        </w:rPr>
        <w:t>5</w:t>
      </w:r>
      <w:r w:rsidRPr="00CE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374">
        <w:rPr>
          <w:rFonts w:ascii="Times New Roman" w:hAnsi="Times New Roman" w:cs="Times New Roman"/>
          <w:sz w:val="24"/>
          <w:szCs w:val="24"/>
        </w:rPr>
        <w:t>two</w:t>
      </w:r>
      <w:r w:rsidRPr="00CE1B38">
        <w:rPr>
          <w:rFonts w:ascii="Times New Roman" w:hAnsi="Times New Roman" w:cs="Times New Roman"/>
          <w:sz w:val="24"/>
          <w:szCs w:val="24"/>
        </w:rPr>
        <w:t xml:space="preserve"> separate offence</w:t>
      </w:r>
      <w:r w:rsidR="00555374">
        <w:rPr>
          <w:rFonts w:ascii="Times New Roman" w:hAnsi="Times New Roman" w:cs="Times New Roman"/>
          <w:sz w:val="24"/>
          <w:szCs w:val="24"/>
        </w:rPr>
        <w:t>s</w:t>
      </w:r>
      <w:r w:rsidRPr="00CE1B38">
        <w:rPr>
          <w:rFonts w:ascii="Times New Roman" w:hAnsi="Times New Roman" w:cs="Times New Roman"/>
          <w:sz w:val="24"/>
          <w:szCs w:val="24"/>
        </w:rPr>
        <w:t xml:space="preserve"> of </w:t>
      </w:r>
      <w:r w:rsidR="00203F15">
        <w:rPr>
          <w:rFonts w:ascii="Times New Roman" w:hAnsi="Times New Roman" w:cs="Times New Roman"/>
          <w:sz w:val="24"/>
          <w:szCs w:val="24"/>
        </w:rPr>
        <w:t xml:space="preserve">non-fatal </w:t>
      </w:r>
      <w:r w:rsidR="00F51383">
        <w:rPr>
          <w:rFonts w:ascii="Times New Roman" w:hAnsi="Times New Roman" w:cs="Times New Roman"/>
          <w:sz w:val="24"/>
          <w:szCs w:val="24"/>
        </w:rPr>
        <w:t>s</w:t>
      </w:r>
      <w:r w:rsidRPr="00CE1B38">
        <w:rPr>
          <w:rFonts w:ascii="Times New Roman" w:hAnsi="Times New Roman" w:cs="Times New Roman"/>
          <w:sz w:val="24"/>
          <w:szCs w:val="24"/>
        </w:rPr>
        <w:t xml:space="preserve">trangulation or </w:t>
      </w:r>
      <w:r w:rsidR="00555374">
        <w:rPr>
          <w:rFonts w:ascii="Times New Roman" w:hAnsi="Times New Roman" w:cs="Times New Roman"/>
          <w:sz w:val="24"/>
          <w:szCs w:val="24"/>
        </w:rPr>
        <w:t xml:space="preserve">non-fatal </w:t>
      </w:r>
      <w:r w:rsidR="00F51383">
        <w:rPr>
          <w:rFonts w:ascii="Times New Roman" w:hAnsi="Times New Roman" w:cs="Times New Roman"/>
          <w:sz w:val="24"/>
          <w:szCs w:val="24"/>
        </w:rPr>
        <w:t>s</w:t>
      </w:r>
      <w:r w:rsidRPr="00CE1B38">
        <w:rPr>
          <w:rFonts w:ascii="Times New Roman" w:hAnsi="Times New Roman" w:cs="Times New Roman"/>
          <w:sz w:val="24"/>
          <w:szCs w:val="24"/>
        </w:rPr>
        <w:t>uffocation.</w:t>
      </w:r>
      <w:r w:rsidR="00DE3D9E">
        <w:rPr>
          <w:rFonts w:ascii="Times New Roman" w:hAnsi="Times New Roman" w:cs="Times New Roman"/>
          <w:sz w:val="24"/>
          <w:szCs w:val="24"/>
        </w:rPr>
        <w:t xml:space="preserve"> </w:t>
      </w:r>
      <w:r w:rsidRPr="00CE1B38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CE1B38">
        <w:rPr>
          <w:rFonts w:ascii="Times New Roman" w:hAnsi="Times New Roman" w:cs="Times New Roman"/>
          <w:sz w:val="24"/>
          <w:szCs w:val="24"/>
        </w:rPr>
        <w:t xml:space="preserve"> provides for someone (</w:t>
      </w:r>
      <w:r w:rsidR="0094713A">
        <w:rPr>
          <w:rFonts w:ascii="Times New Roman" w:hAnsi="Times New Roman" w:cs="Times New Roman"/>
          <w:sz w:val="24"/>
          <w:szCs w:val="24"/>
        </w:rPr>
        <w:t>named</w:t>
      </w:r>
      <w:r w:rsidRPr="00CE1B38">
        <w:rPr>
          <w:rFonts w:ascii="Times New Roman" w:hAnsi="Times New Roman" w:cs="Times New Roman"/>
          <w:sz w:val="24"/>
          <w:szCs w:val="24"/>
        </w:rPr>
        <w:t xml:space="preserve"> person “A” for the purposes of the Act) to be charged </w:t>
      </w:r>
      <w:r w:rsidR="002A0D02">
        <w:rPr>
          <w:rFonts w:ascii="Times New Roman" w:hAnsi="Times New Roman" w:cs="Times New Roman"/>
          <w:sz w:val="24"/>
          <w:szCs w:val="24"/>
        </w:rPr>
        <w:t>with</w:t>
      </w:r>
      <w:r w:rsidRPr="00CE1B38">
        <w:rPr>
          <w:rFonts w:ascii="Times New Roman" w:hAnsi="Times New Roman" w:cs="Times New Roman"/>
          <w:sz w:val="24"/>
          <w:szCs w:val="24"/>
        </w:rPr>
        <w:t xml:space="preserve"> an offence if they:</w:t>
      </w:r>
    </w:p>
    <w:p w14:paraId="3A20814B" w14:textId="77777777" w:rsidR="00CE1B38" w:rsidRPr="00CE1B38" w:rsidRDefault="00CE1B38" w:rsidP="00CE1B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B38">
        <w:rPr>
          <w:rFonts w:ascii="Times New Roman" w:hAnsi="Times New Roman" w:cs="Times New Roman"/>
          <w:sz w:val="24"/>
          <w:szCs w:val="24"/>
        </w:rPr>
        <w:t>Intentionally strangle another person (“B”); or</w:t>
      </w:r>
    </w:p>
    <w:p w14:paraId="0F9E6883" w14:textId="749A1AA9" w:rsidR="00CE1B38" w:rsidRPr="00CE1B38" w:rsidRDefault="00CE1B38" w:rsidP="00CE1B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B38">
        <w:rPr>
          <w:rFonts w:ascii="Times New Roman" w:hAnsi="Times New Roman" w:cs="Times New Roman"/>
          <w:sz w:val="24"/>
          <w:szCs w:val="24"/>
        </w:rPr>
        <w:t>Does any other act to B that –</w:t>
      </w:r>
    </w:p>
    <w:p w14:paraId="21E1B05D" w14:textId="577422D3" w:rsidR="00CE1B38" w:rsidRPr="00CE1B38" w:rsidRDefault="00CE1B38" w:rsidP="00CE1B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B38">
        <w:rPr>
          <w:rFonts w:ascii="Times New Roman" w:hAnsi="Times New Roman" w:cs="Times New Roman"/>
          <w:sz w:val="24"/>
          <w:szCs w:val="24"/>
        </w:rPr>
        <w:t>Affects B’s ability to breathe, and</w:t>
      </w:r>
    </w:p>
    <w:p w14:paraId="1D68EF44" w14:textId="0BD90E6A" w:rsidR="00CE1B38" w:rsidRDefault="00CE1B38" w:rsidP="00CE1B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B38">
        <w:rPr>
          <w:rFonts w:ascii="Times New Roman" w:hAnsi="Times New Roman" w:cs="Times New Roman"/>
          <w:sz w:val="24"/>
          <w:szCs w:val="24"/>
        </w:rPr>
        <w:t>Constitutes battery of B</w:t>
      </w:r>
      <w:r w:rsidR="00DE2F94">
        <w:rPr>
          <w:rFonts w:ascii="Times New Roman" w:hAnsi="Times New Roman" w:cs="Times New Roman"/>
          <w:sz w:val="24"/>
          <w:szCs w:val="24"/>
        </w:rPr>
        <w:t>.</w:t>
      </w:r>
    </w:p>
    <w:p w14:paraId="4FACA942" w14:textId="77777777" w:rsidR="00DE2691" w:rsidRDefault="00DE2691" w:rsidP="00DE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CFBD6" w14:textId="23B7D8EC" w:rsidR="00DE2691" w:rsidRPr="00DE2691" w:rsidRDefault="00DE2691" w:rsidP="00DE26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s.75A(1)(a) constitutes an offence of “</w:t>
      </w:r>
      <w:proofErr w:type="gramStart"/>
      <w:r>
        <w:rPr>
          <w:rFonts w:ascii="Times New Roman" w:hAnsi="Times New Roman" w:cs="Times New Roman"/>
          <w:sz w:val="24"/>
          <w:szCs w:val="24"/>
        </w:rPr>
        <w:t>Non-fatal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EA6">
        <w:rPr>
          <w:rFonts w:ascii="Times New Roman" w:hAnsi="Times New Roman" w:cs="Times New Roman"/>
          <w:sz w:val="24"/>
          <w:szCs w:val="24"/>
        </w:rPr>
        <w:t>strangulation</w:t>
      </w:r>
      <w:r>
        <w:rPr>
          <w:rFonts w:ascii="Times New Roman" w:hAnsi="Times New Roman" w:cs="Times New Roman"/>
          <w:sz w:val="24"/>
          <w:szCs w:val="24"/>
        </w:rPr>
        <w:t xml:space="preserve">”, and s.75A(1)(b) constitutes an offence of “Non-fatal suffocation”. However, for the purposes of this article, the two </w:t>
      </w:r>
      <w:r w:rsidR="00355190">
        <w:rPr>
          <w:rFonts w:ascii="Times New Roman" w:hAnsi="Times New Roman" w:cs="Times New Roman"/>
          <w:sz w:val="24"/>
          <w:szCs w:val="24"/>
        </w:rPr>
        <w:t>have been</w:t>
      </w:r>
      <w:r>
        <w:rPr>
          <w:rFonts w:ascii="Times New Roman" w:hAnsi="Times New Roman" w:cs="Times New Roman"/>
          <w:sz w:val="24"/>
          <w:szCs w:val="24"/>
        </w:rPr>
        <w:t xml:space="preserve"> grouped together. </w:t>
      </w:r>
    </w:p>
    <w:p w14:paraId="11C4BD12" w14:textId="2612E6BC" w:rsidR="00CE1B38" w:rsidRPr="00CE1B38" w:rsidRDefault="00CE1B38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3532FE" w14:textId="62061F0F" w:rsidR="00B0054D" w:rsidRDefault="00CE1B38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0D6F02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 xml:space="preserve"> under s.75</w:t>
      </w:r>
      <w:r w:rsidR="00462078">
        <w:rPr>
          <w:rFonts w:ascii="Times New Roman" w:hAnsi="Times New Roman" w:cs="Times New Roman"/>
          <w:sz w:val="24"/>
          <w:szCs w:val="24"/>
        </w:rPr>
        <w:t>A</w:t>
      </w:r>
      <w:r w:rsidR="00B70A9C">
        <w:rPr>
          <w:rFonts w:ascii="Times New Roman" w:hAnsi="Times New Roman" w:cs="Times New Roman"/>
          <w:sz w:val="24"/>
          <w:szCs w:val="24"/>
        </w:rPr>
        <w:t>(2) and (3),</w:t>
      </w:r>
      <w:r>
        <w:rPr>
          <w:rFonts w:ascii="Times New Roman" w:hAnsi="Times New Roman" w:cs="Times New Roman"/>
          <w:sz w:val="24"/>
          <w:szCs w:val="24"/>
        </w:rPr>
        <w:t xml:space="preserve"> it is a defence for the individual charged to show that B consented to the strangulation or the other act</w:t>
      </w:r>
      <w:r w:rsidR="004F7A6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take into consideration situations where </w:t>
      </w:r>
      <w:r w:rsidR="00DE2F94">
        <w:rPr>
          <w:rFonts w:ascii="Times New Roman" w:hAnsi="Times New Roman" w:cs="Times New Roman"/>
          <w:sz w:val="24"/>
          <w:szCs w:val="24"/>
        </w:rPr>
        <w:t>couples are consenting to acts of strangulation</w:t>
      </w:r>
      <w:r w:rsidR="00AA1E3D">
        <w:rPr>
          <w:rFonts w:ascii="Times New Roman" w:hAnsi="Times New Roman" w:cs="Times New Roman"/>
          <w:sz w:val="24"/>
          <w:szCs w:val="24"/>
        </w:rPr>
        <w:t>/suffocation</w:t>
      </w:r>
      <w:r w:rsidR="00DE2F94">
        <w:rPr>
          <w:rFonts w:ascii="Times New Roman" w:hAnsi="Times New Roman" w:cs="Times New Roman"/>
          <w:sz w:val="24"/>
          <w:szCs w:val="24"/>
        </w:rPr>
        <w:t xml:space="preserve"> either for sexual gratification purposes or otherwise</w:t>
      </w:r>
      <w:r w:rsidR="00065B63">
        <w:rPr>
          <w:rFonts w:ascii="Times New Roman" w:hAnsi="Times New Roman" w:cs="Times New Roman"/>
          <w:sz w:val="24"/>
          <w:szCs w:val="24"/>
        </w:rPr>
        <w:t xml:space="preserve">. </w:t>
      </w:r>
      <w:r w:rsidR="00375408">
        <w:rPr>
          <w:rFonts w:ascii="Times New Roman" w:hAnsi="Times New Roman" w:cs="Times New Roman"/>
          <w:sz w:val="24"/>
          <w:szCs w:val="24"/>
        </w:rPr>
        <w:t xml:space="preserve">They must do so by providing sufficient evidence of the fact, and the contrary is not proved beyond reasonable doubt. </w:t>
      </w:r>
      <w:r w:rsidR="005929E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 defence does not apply</w:t>
      </w:r>
      <w:r w:rsidR="0059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B suffers </w:t>
      </w:r>
      <w:r>
        <w:rPr>
          <w:rFonts w:ascii="Times New Roman" w:hAnsi="Times New Roman" w:cs="Times New Roman"/>
          <w:sz w:val="24"/>
          <w:szCs w:val="24"/>
        </w:rPr>
        <w:lastRenderedPageBreak/>
        <w:t>serious harm as a result of the strangulation or the other act, and the individual charged either intended to cause B serious harm or was reckless as to whether B would suffer serious harm.</w:t>
      </w:r>
      <w:r w:rsidR="004E67F2" w:rsidRPr="004E67F2">
        <w:rPr>
          <w:rFonts w:ascii="Times New Roman" w:hAnsi="Times New Roman" w:cs="Times New Roman"/>
          <w:sz w:val="24"/>
          <w:szCs w:val="24"/>
        </w:rPr>
        <w:t xml:space="preserve"> </w:t>
      </w:r>
      <w:r w:rsidR="007F25AF">
        <w:rPr>
          <w:rFonts w:ascii="Times New Roman" w:hAnsi="Times New Roman" w:cs="Times New Roman"/>
          <w:sz w:val="24"/>
          <w:szCs w:val="24"/>
        </w:rPr>
        <w:t>This defence of consent does not extend to s.47, s.20, or s.18.</w:t>
      </w:r>
    </w:p>
    <w:p w14:paraId="11B06643" w14:textId="77777777" w:rsidR="00F25EE7" w:rsidRDefault="00F25EE7" w:rsidP="00F25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4FD8A1" w14:textId="23AC6FE2" w:rsidR="00F25EE7" w:rsidRPr="00CE1B38" w:rsidRDefault="00F25EE7" w:rsidP="00F25E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offence is one to be tried either way. On summary conviction, the maximum sentence is one of 12 months (or 6 months if </w:t>
      </w:r>
      <w:r w:rsidR="00E137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offence was committed before 2</w:t>
      </w:r>
      <w:r w:rsidRPr="00D92B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May 2022, prior to the increase in the magistrates’ court sentencing powers) and/or a fine. On indictment, the maximum sentence is a term of 5 years and/or a fine. </w:t>
      </w:r>
    </w:p>
    <w:p w14:paraId="463147C8" w14:textId="4D5D32A4" w:rsidR="00641894" w:rsidRDefault="00641894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C5494D" w14:textId="2AF7EA96" w:rsidR="000E0FF6" w:rsidRPr="000E0FF6" w:rsidRDefault="003A688D" w:rsidP="00CE1B3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 this a positive move?</w:t>
      </w:r>
    </w:p>
    <w:p w14:paraId="5045550B" w14:textId="64C88334" w:rsidR="00DE0F16" w:rsidRDefault="007649D8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641894">
        <w:rPr>
          <w:rFonts w:ascii="Times New Roman" w:hAnsi="Times New Roman" w:cs="Times New Roman"/>
          <w:sz w:val="24"/>
          <w:szCs w:val="24"/>
        </w:rPr>
        <w:t xml:space="preserve"> first glance, the enactment of </w:t>
      </w:r>
      <w:r w:rsidR="00E26455">
        <w:rPr>
          <w:rFonts w:ascii="Times New Roman" w:hAnsi="Times New Roman" w:cs="Times New Roman"/>
          <w:sz w:val="24"/>
          <w:szCs w:val="24"/>
        </w:rPr>
        <w:t>these</w:t>
      </w:r>
      <w:r w:rsidR="00641894">
        <w:rPr>
          <w:rFonts w:ascii="Times New Roman" w:hAnsi="Times New Roman" w:cs="Times New Roman"/>
          <w:sz w:val="24"/>
          <w:szCs w:val="24"/>
        </w:rPr>
        <w:t xml:space="preserve"> offence</w:t>
      </w:r>
      <w:r w:rsidR="00E26455">
        <w:rPr>
          <w:rFonts w:ascii="Times New Roman" w:hAnsi="Times New Roman" w:cs="Times New Roman"/>
          <w:sz w:val="24"/>
          <w:szCs w:val="24"/>
        </w:rPr>
        <w:t>s</w:t>
      </w:r>
      <w:r w:rsidR="00641894">
        <w:rPr>
          <w:rFonts w:ascii="Times New Roman" w:hAnsi="Times New Roman" w:cs="Times New Roman"/>
          <w:sz w:val="24"/>
          <w:szCs w:val="24"/>
        </w:rPr>
        <w:t xml:space="preserve"> seem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1894">
        <w:rPr>
          <w:rFonts w:ascii="Times New Roman" w:hAnsi="Times New Roman" w:cs="Times New Roman"/>
          <w:sz w:val="24"/>
          <w:szCs w:val="24"/>
        </w:rPr>
        <w:t xml:space="preserve"> positive. </w:t>
      </w:r>
      <w:r w:rsidR="0000182F">
        <w:rPr>
          <w:rFonts w:ascii="Times New Roman" w:hAnsi="Times New Roman" w:cs="Times New Roman"/>
          <w:sz w:val="24"/>
          <w:szCs w:val="24"/>
        </w:rPr>
        <w:t xml:space="preserve">In practice, prosecuting offences where strangulation and suffocation </w:t>
      </w:r>
      <w:r w:rsidR="00F424DB">
        <w:rPr>
          <w:rFonts w:ascii="Times New Roman" w:hAnsi="Times New Roman" w:cs="Times New Roman"/>
          <w:sz w:val="24"/>
          <w:szCs w:val="24"/>
        </w:rPr>
        <w:t>are</w:t>
      </w:r>
      <w:r w:rsidR="0000182F">
        <w:rPr>
          <w:rFonts w:ascii="Times New Roman" w:hAnsi="Times New Roman" w:cs="Times New Roman"/>
          <w:sz w:val="24"/>
          <w:szCs w:val="24"/>
        </w:rPr>
        <w:t xml:space="preserve"> alleged but cause no visible injury can be a difficult task. </w:t>
      </w:r>
      <w:r w:rsidR="00B42BF6">
        <w:rPr>
          <w:rFonts w:ascii="Times New Roman" w:hAnsi="Times New Roman" w:cs="Times New Roman"/>
          <w:sz w:val="24"/>
          <w:szCs w:val="24"/>
        </w:rPr>
        <w:t xml:space="preserve">Especially in the domestic violence context, when complainants </w:t>
      </w:r>
      <w:r w:rsidR="00093ECE">
        <w:rPr>
          <w:rFonts w:ascii="Times New Roman" w:hAnsi="Times New Roman" w:cs="Times New Roman"/>
          <w:sz w:val="24"/>
          <w:szCs w:val="24"/>
        </w:rPr>
        <w:t xml:space="preserve">may </w:t>
      </w:r>
      <w:r w:rsidR="00B42BF6">
        <w:rPr>
          <w:rFonts w:ascii="Times New Roman" w:hAnsi="Times New Roman" w:cs="Times New Roman"/>
          <w:sz w:val="24"/>
          <w:szCs w:val="24"/>
        </w:rPr>
        <w:t xml:space="preserve">withdraw their support of the prosecution </w:t>
      </w:r>
      <w:r w:rsidR="00776F78">
        <w:rPr>
          <w:rFonts w:ascii="Times New Roman" w:hAnsi="Times New Roman" w:cs="Times New Roman"/>
          <w:sz w:val="24"/>
          <w:szCs w:val="24"/>
        </w:rPr>
        <w:t xml:space="preserve">either out of fear or </w:t>
      </w:r>
      <w:r w:rsidR="007C3157">
        <w:rPr>
          <w:rFonts w:ascii="Times New Roman" w:hAnsi="Times New Roman" w:cs="Times New Roman"/>
          <w:sz w:val="24"/>
          <w:szCs w:val="24"/>
        </w:rPr>
        <w:t>a wish to continue with the relationship.</w:t>
      </w:r>
      <w:r w:rsidR="00BF6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F610A" w14:textId="77777777" w:rsidR="00DE0F16" w:rsidRDefault="00DE0F16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35904C" w14:textId="0ABE802C" w:rsidR="00641894" w:rsidRDefault="00BF6E57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Campaigners for domestic violence </w:t>
      </w:r>
      <w:r w:rsidR="00C50B66">
        <w:rPr>
          <w:rFonts w:ascii="Times New Roman" w:hAnsi="Times New Roman" w:cs="Times New Roman"/>
          <w:sz w:val="24"/>
          <w:szCs w:val="24"/>
        </w:rPr>
        <w:t xml:space="preserve">reform </w:t>
      </w:r>
      <w:r>
        <w:rPr>
          <w:rFonts w:ascii="Times New Roman" w:hAnsi="Times New Roman" w:cs="Times New Roman"/>
          <w:sz w:val="24"/>
          <w:szCs w:val="24"/>
        </w:rPr>
        <w:t xml:space="preserve">urged the government </w:t>
      </w:r>
      <w:r w:rsidR="0064180D">
        <w:rPr>
          <w:rFonts w:ascii="Times New Roman" w:hAnsi="Times New Roman" w:cs="Times New Roman"/>
          <w:sz w:val="24"/>
          <w:szCs w:val="24"/>
        </w:rPr>
        <w:t>to better protect victims of domestic violence</w:t>
      </w:r>
      <w:r w:rsidR="001408BE">
        <w:rPr>
          <w:rFonts w:ascii="Times New Roman" w:hAnsi="Times New Roman" w:cs="Times New Roman"/>
          <w:sz w:val="24"/>
          <w:szCs w:val="24"/>
        </w:rPr>
        <w:t xml:space="preserve">, and the introduction of s.70 Domestic Abuse Act 2021 clearly intended to tackle the low rate of successful prosecutions </w:t>
      </w:r>
      <w:r w:rsidR="00590FFA">
        <w:rPr>
          <w:rFonts w:ascii="Times New Roman" w:hAnsi="Times New Roman" w:cs="Times New Roman"/>
          <w:sz w:val="24"/>
          <w:szCs w:val="24"/>
        </w:rPr>
        <w:t>for non-fatal strangulation in our country.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093ECE">
        <w:rPr>
          <w:rFonts w:ascii="Times New Roman" w:hAnsi="Times New Roman" w:cs="Times New Roman"/>
          <w:sz w:val="24"/>
          <w:szCs w:val="24"/>
        </w:rPr>
        <w:t xml:space="preserve">Studies such as </w:t>
      </w:r>
      <w:r w:rsidR="00093ECE" w:rsidRPr="00093ECE">
        <w:rPr>
          <w:rFonts w:ascii="Times New Roman" w:hAnsi="Times New Roman" w:cs="Times New Roman"/>
          <w:sz w:val="24"/>
          <w:szCs w:val="24"/>
        </w:rPr>
        <w:t>Glass et al’s</w:t>
      </w:r>
      <w:r w:rsidR="00093ECE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gramStart"/>
      <w:r w:rsidR="00D63F16">
        <w:rPr>
          <w:rFonts w:ascii="Times New Roman" w:hAnsi="Times New Roman" w:cs="Times New Roman"/>
          <w:i/>
          <w:iCs/>
          <w:sz w:val="24"/>
          <w:szCs w:val="24"/>
        </w:rPr>
        <w:t>Non-fatal</w:t>
      </w:r>
      <w:proofErr w:type="gramEnd"/>
      <w:r w:rsidR="00093ECE">
        <w:rPr>
          <w:rFonts w:ascii="Times New Roman" w:hAnsi="Times New Roman" w:cs="Times New Roman"/>
          <w:i/>
          <w:iCs/>
          <w:sz w:val="24"/>
          <w:szCs w:val="24"/>
        </w:rPr>
        <w:t xml:space="preserve"> strangulation is an important risk factor for homicide of women” </w:t>
      </w:r>
      <w:r w:rsidR="004222B2">
        <w:rPr>
          <w:rFonts w:ascii="Times New Roman" w:hAnsi="Times New Roman" w:cs="Times New Roman"/>
          <w:sz w:val="24"/>
          <w:szCs w:val="24"/>
        </w:rPr>
        <w:t>confirm</w:t>
      </w:r>
      <w:r w:rsidR="00EC01DA">
        <w:rPr>
          <w:rFonts w:ascii="Times New Roman" w:hAnsi="Times New Roman" w:cs="Times New Roman"/>
          <w:sz w:val="24"/>
          <w:szCs w:val="24"/>
        </w:rPr>
        <w:t xml:space="preserve"> </w:t>
      </w:r>
      <w:r w:rsidR="004222B2">
        <w:rPr>
          <w:rFonts w:ascii="Times New Roman" w:hAnsi="Times New Roman" w:cs="Times New Roman"/>
          <w:sz w:val="24"/>
          <w:szCs w:val="24"/>
        </w:rPr>
        <w:t xml:space="preserve">that </w:t>
      </w:r>
      <w:r w:rsidR="00324113">
        <w:rPr>
          <w:rFonts w:ascii="Times New Roman" w:hAnsi="Times New Roman" w:cs="Times New Roman"/>
          <w:sz w:val="24"/>
          <w:szCs w:val="24"/>
        </w:rPr>
        <w:t>if victims of domestic abuse were subject to non-fatal strangulation beforehand, then they are seven times more likely to be murdered by their romantic partner.</w:t>
      </w:r>
      <w:r w:rsidR="00422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1434">
        <w:rPr>
          <w:rFonts w:ascii="Times New Roman" w:hAnsi="Times New Roman" w:cs="Times New Roman"/>
          <w:sz w:val="24"/>
          <w:szCs w:val="24"/>
        </w:rPr>
        <w:t>The enactment</w:t>
      </w:r>
      <w:r w:rsidR="00581C6D">
        <w:rPr>
          <w:rFonts w:ascii="Times New Roman" w:hAnsi="Times New Roman" w:cs="Times New Roman"/>
          <w:sz w:val="24"/>
          <w:szCs w:val="24"/>
        </w:rPr>
        <w:t xml:space="preserve"> of the</w:t>
      </w:r>
      <w:r w:rsidR="00607698">
        <w:rPr>
          <w:rFonts w:ascii="Times New Roman" w:hAnsi="Times New Roman" w:cs="Times New Roman"/>
          <w:sz w:val="24"/>
          <w:szCs w:val="24"/>
        </w:rPr>
        <w:t>se</w:t>
      </w:r>
      <w:r w:rsidR="00581C6D">
        <w:rPr>
          <w:rFonts w:ascii="Times New Roman" w:hAnsi="Times New Roman" w:cs="Times New Roman"/>
          <w:sz w:val="24"/>
          <w:szCs w:val="24"/>
        </w:rPr>
        <w:t xml:space="preserve"> offence</w:t>
      </w:r>
      <w:r w:rsidR="00E26455">
        <w:rPr>
          <w:rFonts w:ascii="Times New Roman" w:hAnsi="Times New Roman" w:cs="Times New Roman"/>
          <w:sz w:val="24"/>
          <w:szCs w:val="24"/>
        </w:rPr>
        <w:t>s</w:t>
      </w:r>
      <w:r w:rsidR="00581C6D">
        <w:rPr>
          <w:rFonts w:ascii="Times New Roman" w:hAnsi="Times New Roman" w:cs="Times New Roman"/>
          <w:sz w:val="24"/>
          <w:szCs w:val="24"/>
        </w:rPr>
        <w:t xml:space="preserve">, </w:t>
      </w:r>
      <w:r w:rsidR="004B5B72">
        <w:rPr>
          <w:rFonts w:ascii="Times New Roman" w:hAnsi="Times New Roman" w:cs="Times New Roman"/>
          <w:sz w:val="24"/>
          <w:szCs w:val="24"/>
        </w:rPr>
        <w:t>along with</w:t>
      </w:r>
      <w:r w:rsidR="00581C6D">
        <w:rPr>
          <w:rFonts w:ascii="Times New Roman" w:hAnsi="Times New Roman" w:cs="Times New Roman"/>
          <w:sz w:val="24"/>
          <w:szCs w:val="24"/>
        </w:rPr>
        <w:t xml:space="preserve"> the Act in general,</w:t>
      </w:r>
      <w:r w:rsidR="00E32CB8">
        <w:rPr>
          <w:rFonts w:ascii="Times New Roman" w:hAnsi="Times New Roman" w:cs="Times New Roman"/>
          <w:sz w:val="24"/>
          <w:szCs w:val="24"/>
        </w:rPr>
        <w:t xml:space="preserve"> is therefore a positive shift to recognise the difficulties and complexities victims of domestic violence </w:t>
      </w:r>
      <w:r w:rsidR="007D6C3A">
        <w:rPr>
          <w:rFonts w:ascii="Times New Roman" w:hAnsi="Times New Roman" w:cs="Times New Roman"/>
          <w:sz w:val="24"/>
          <w:szCs w:val="24"/>
        </w:rPr>
        <w:t>face on a daily basis.</w:t>
      </w:r>
    </w:p>
    <w:p w14:paraId="66351442" w14:textId="77777777" w:rsidR="00B0054D" w:rsidRDefault="00B0054D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90280" w14:textId="7603FA75" w:rsidR="00CE1B38" w:rsidRDefault="00E32CB8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84598F">
        <w:rPr>
          <w:rFonts w:ascii="Times New Roman" w:hAnsi="Times New Roman" w:cs="Times New Roman"/>
          <w:sz w:val="24"/>
          <w:szCs w:val="24"/>
        </w:rPr>
        <w:t xml:space="preserve">to a legal mind, there are clearly flaws within s.70/s.75A. </w:t>
      </w:r>
      <w:r w:rsidR="00B0054D">
        <w:rPr>
          <w:rFonts w:ascii="Times New Roman" w:hAnsi="Times New Roman" w:cs="Times New Roman"/>
          <w:sz w:val="24"/>
          <w:szCs w:val="24"/>
        </w:rPr>
        <w:t>We are used to the legal definition of ‘serious harm’ including GBH and offences under s.20 and s.18 Offences against the Person Act 1861.</w:t>
      </w:r>
      <w:r w:rsidR="00051EE7">
        <w:rPr>
          <w:rFonts w:ascii="Times New Roman" w:hAnsi="Times New Roman" w:cs="Times New Roman"/>
          <w:sz w:val="24"/>
          <w:szCs w:val="24"/>
        </w:rPr>
        <w:t xml:space="preserve"> We are also instilled to recognise the definition of actual bodily harm </w:t>
      </w:r>
      <w:r w:rsidR="00997825">
        <w:rPr>
          <w:rFonts w:ascii="Times New Roman" w:hAnsi="Times New Roman" w:cs="Times New Roman"/>
          <w:sz w:val="24"/>
          <w:szCs w:val="24"/>
        </w:rPr>
        <w:t xml:space="preserve">as being “any hurt calculated to interfere with the health or comfort of the victim, which </w:t>
      </w:r>
      <w:r w:rsidR="00997825">
        <w:rPr>
          <w:rFonts w:ascii="Times New Roman" w:hAnsi="Times New Roman" w:cs="Times New Roman"/>
          <w:sz w:val="24"/>
          <w:szCs w:val="24"/>
        </w:rPr>
        <w:lastRenderedPageBreak/>
        <w:t>need not be pertinent but must be more than transient and trifling” (</w:t>
      </w:r>
      <w:r w:rsidR="00997825">
        <w:rPr>
          <w:rFonts w:ascii="Times New Roman" w:hAnsi="Times New Roman" w:cs="Times New Roman"/>
          <w:i/>
          <w:iCs/>
          <w:sz w:val="24"/>
          <w:szCs w:val="24"/>
        </w:rPr>
        <w:t xml:space="preserve">R v Donovan </w:t>
      </w:r>
      <w:r w:rsidR="00997825">
        <w:rPr>
          <w:rFonts w:ascii="Times New Roman" w:hAnsi="Times New Roman" w:cs="Times New Roman"/>
          <w:sz w:val="24"/>
          <w:szCs w:val="24"/>
        </w:rPr>
        <w:t>[1934] 2 KB 498)</w:t>
      </w:r>
      <w:r w:rsidR="00462078">
        <w:rPr>
          <w:rFonts w:ascii="Times New Roman" w:hAnsi="Times New Roman" w:cs="Times New Roman"/>
          <w:sz w:val="24"/>
          <w:szCs w:val="24"/>
        </w:rPr>
        <w:t xml:space="preserve">. </w:t>
      </w:r>
      <w:r w:rsidR="00C16C1D">
        <w:rPr>
          <w:rFonts w:ascii="Times New Roman" w:hAnsi="Times New Roman" w:cs="Times New Roman"/>
          <w:sz w:val="24"/>
          <w:szCs w:val="24"/>
        </w:rPr>
        <w:t>Nevertheless</w:t>
      </w:r>
      <w:r w:rsidR="00462078">
        <w:rPr>
          <w:rFonts w:ascii="Times New Roman" w:hAnsi="Times New Roman" w:cs="Times New Roman"/>
          <w:sz w:val="24"/>
          <w:szCs w:val="24"/>
        </w:rPr>
        <w:t>, s.75A(6) defines “serious harm” as:</w:t>
      </w:r>
    </w:p>
    <w:p w14:paraId="56C6C3B2" w14:textId="104B3017" w:rsidR="00462078" w:rsidRDefault="00462078" w:rsidP="004620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Grievous bodily harm, within the meaning of s.18,</w:t>
      </w:r>
    </w:p>
    <w:p w14:paraId="714911D6" w14:textId="52DB3421" w:rsidR="00462078" w:rsidRDefault="00462078" w:rsidP="004620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Wounding, within the meaning of s.18, or</w:t>
      </w:r>
    </w:p>
    <w:p w14:paraId="43EC0DB2" w14:textId="6BD5338C" w:rsidR="00462078" w:rsidRDefault="00462078" w:rsidP="004620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bodily harm, within the meaning of s.47.</w:t>
      </w:r>
    </w:p>
    <w:p w14:paraId="1F901351" w14:textId="77777777" w:rsidR="00462078" w:rsidRDefault="00462078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B7E21" w14:textId="4B4EA4D4" w:rsidR="00462078" w:rsidRDefault="00462078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appears to be a disconnect between the definition of s.47 as we know it and s.47 within the </w:t>
      </w:r>
      <w:r w:rsidR="00D944C9">
        <w:rPr>
          <w:rFonts w:ascii="Times New Roman" w:hAnsi="Times New Roman" w:cs="Times New Roman"/>
          <w:sz w:val="24"/>
          <w:szCs w:val="24"/>
        </w:rPr>
        <w:t xml:space="preserve">terms of s.75A(6). </w:t>
      </w:r>
      <w:r w:rsidR="000D2019">
        <w:rPr>
          <w:rFonts w:ascii="Times New Roman" w:hAnsi="Times New Roman" w:cs="Times New Roman"/>
          <w:sz w:val="24"/>
          <w:szCs w:val="24"/>
        </w:rPr>
        <w:t>For ‘serious harm’, there is now a need to prove an intention or recklessness under s.75A</w:t>
      </w:r>
      <w:r w:rsidR="005C1DBE">
        <w:rPr>
          <w:rFonts w:ascii="Times New Roman" w:hAnsi="Times New Roman" w:cs="Times New Roman"/>
          <w:sz w:val="24"/>
          <w:szCs w:val="24"/>
        </w:rPr>
        <w:t xml:space="preserve"> to disprove the defence</w:t>
      </w:r>
      <w:r w:rsidR="00FE0820">
        <w:rPr>
          <w:rFonts w:ascii="Times New Roman" w:hAnsi="Times New Roman" w:cs="Times New Roman"/>
          <w:sz w:val="24"/>
          <w:szCs w:val="24"/>
        </w:rPr>
        <w:t xml:space="preserve">, instead of proving an application of unlawful force in s.47 cases. </w:t>
      </w:r>
      <w:r w:rsidR="006B69BF">
        <w:rPr>
          <w:rFonts w:ascii="Times New Roman" w:hAnsi="Times New Roman" w:cs="Times New Roman"/>
          <w:sz w:val="24"/>
          <w:szCs w:val="24"/>
        </w:rPr>
        <w:t xml:space="preserve">Additionally, the </w:t>
      </w:r>
      <w:r w:rsidR="00A405E9">
        <w:rPr>
          <w:rFonts w:ascii="Times New Roman" w:hAnsi="Times New Roman" w:cs="Times New Roman"/>
          <w:sz w:val="24"/>
          <w:szCs w:val="24"/>
        </w:rPr>
        <w:t>mens rea requirement for proving a defence under s.75A appears to make th</w:t>
      </w:r>
      <w:r w:rsidR="00607698">
        <w:rPr>
          <w:rFonts w:ascii="Times New Roman" w:hAnsi="Times New Roman" w:cs="Times New Roman"/>
          <w:sz w:val="24"/>
          <w:szCs w:val="24"/>
        </w:rPr>
        <w:t>ese</w:t>
      </w:r>
      <w:r w:rsidR="00A405E9">
        <w:rPr>
          <w:rFonts w:ascii="Times New Roman" w:hAnsi="Times New Roman" w:cs="Times New Roman"/>
          <w:sz w:val="24"/>
          <w:szCs w:val="24"/>
        </w:rPr>
        <w:t xml:space="preserve"> </w:t>
      </w:r>
      <w:r w:rsidR="00607698">
        <w:rPr>
          <w:rFonts w:ascii="Times New Roman" w:hAnsi="Times New Roman" w:cs="Times New Roman"/>
          <w:sz w:val="24"/>
          <w:szCs w:val="24"/>
        </w:rPr>
        <w:t xml:space="preserve">two </w:t>
      </w:r>
      <w:r w:rsidR="00A405E9">
        <w:rPr>
          <w:rFonts w:ascii="Times New Roman" w:hAnsi="Times New Roman" w:cs="Times New Roman"/>
          <w:sz w:val="24"/>
          <w:szCs w:val="24"/>
        </w:rPr>
        <w:t>offence</w:t>
      </w:r>
      <w:r w:rsidR="00607698">
        <w:rPr>
          <w:rFonts w:ascii="Times New Roman" w:hAnsi="Times New Roman" w:cs="Times New Roman"/>
          <w:sz w:val="24"/>
          <w:szCs w:val="24"/>
        </w:rPr>
        <w:t>s</w:t>
      </w:r>
      <w:r w:rsidR="00A405E9">
        <w:rPr>
          <w:rFonts w:ascii="Times New Roman" w:hAnsi="Times New Roman" w:cs="Times New Roman"/>
          <w:sz w:val="24"/>
          <w:szCs w:val="24"/>
        </w:rPr>
        <w:t xml:space="preserve"> more difficult to prosecute than a s.47 offence – where the maximum sentence is also one of 5 years.</w:t>
      </w:r>
    </w:p>
    <w:p w14:paraId="48FB72DB" w14:textId="77777777" w:rsidR="00173D54" w:rsidRDefault="00173D54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936F5E" w14:textId="75068AC3" w:rsidR="00262934" w:rsidRDefault="00642F15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</w:t>
      </w:r>
      <w:r w:rsidR="00DA1295">
        <w:rPr>
          <w:rFonts w:ascii="Times New Roman" w:hAnsi="Times New Roman" w:cs="Times New Roman"/>
          <w:sz w:val="24"/>
          <w:szCs w:val="24"/>
        </w:rPr>
        <w:t xml:space="preserve"> discussed the resemblance of s.75A to other Offences against the Person, but </w:t>
      </w:r>
      <w:r w:rsidR="00737834">
        <w:rPr>
          <w:rFonts w:ascii="Times New Roman" w:hAnsi="Times New Roman" w:cs="Times New Roman"/>
          <w:sz w:val="24"/>
          <w:szCs w:val="24"/>
        </w:rPr>
        <w:t>they</w:t>
      </w:r>
      <w:r w:rsidR="00DA1295">
        <w:rPr>
          <w:rFonts w:ascii="Times New Roman" w:hAnsi="Times New Roman" w:cs="Times New Roman"/>
          <w:sz w:val="24"/>
          <w:szCs w:val="24"/>
        </w:rPr>
        <w:t xml:space="preserve"> share an even more </w:t>
      </w:r>
      <w:r w:rsidR="00F06E40">
        <w:rPr>
          <w:rFonts w:ascii="Times New Roman" w:hAnsi="Times New Roman" w:cs="Times New Roman"/>
          <w:sz w:val="24"/>
          <w:szCs w:val="24"/>
        </w:rPr>
        <w:t xml:space="preserve">striking resemblance </w:t>
      </w:r>
      <w:r w:rsidR="00DA1295">
        <w:rPr>
          <w:rFonts w:ascii="Times New Roman" w:hAnsi="Times New Roman" w:cs="Times New Roman"/>
          <w:sz w:val="24"/>
          <w:szCs w:val="24"/>
        </w:rPr>
        <w:t>to the offence of</w:t>
      </w:r>
      <w:r w:rsidR="00874205">
        <w:rPr>
          <w:rFonts w:ascii="Times New Roman" w:hAnsi="Times New Roman" w:cs="Times New Roman"/>
          <w:sz w:val="24"/>
          <w:szCs w:val="24"/>
        </w:rPr>
        <w:t xml:space="preserve"> s.39 Assault by Beating – an offence triable only summarily </w:t>
      </w:r>
      <w:r w:rsidR="00827042">
        <w:rPr>
          <w:rFonts w:ascii="Times New Roman" w:hAnsi="Times New Roman" w:cs="Times New Roman"/>
          <w:sz w:val="24"/>
          <w:szCs w:val="24"/>
        </w:rPr>
        <w:t>with a maximum sentence of 6 months</w:t>
      </w:r>
      <w:r w:rsidR="00DA1295">
        <w:rPr>
          <w:rFonts w:ascii="Times New Roman" w:hAnsi="Times New Roman" w:cs="Times New Roman"/>
          <w:sz w:val="24"/>
          <w:szCs w:val="24"/>
        </w:rPr>
        <w:t xml:space="preserve">. </w:t>
      </w:r>
      <w:r w:rsidR="00A763B4">
        <w:rPr>
          <w:rFonts w:ascii="Times New Roman" w:hAnsi="Times New Roman" w:cs="Times New Roman"/>
          <w:sz w:val="24"/>
          <w:szCs w:val="24"/>
        </w:rPr>
        <w:t xml:space="preserve">However, under s.75A, if the defendant elects a Crown Court trial or the magistrates’ do not believe they have sufficient sentencing powers to deal with </w:t>
      </w:r>
      <w:r w:rsidR="007C0339">
        <w:rPr>
          <w:rFonts w:ascii="Times New Roman" w:hAnsi="Times New Roman" w:cs="Times New Roman"/>
          <w:sz w:val="24"/>
          <w:szCs w:val="24"/>
        </w:rPr>
        <w:t xml:space="preserve">the </w:t>
      </w:r>
      <w:r w:rsidR="002405A4">
        <w:rPr>
          <w:rFonts w:ascii="Times New Roman" w:hAnsi="Times New Roman" w:cs="Times New Roman"/>
          <w:sz w:val="24"/>
          <w:szCs w:val="24"/>
        </w:rPr>
        <w:t>case</w:t>
      </w:r>
      <w:r w:rsidR="00A763B4">
        <w:rPr>
          <w:rFonts w:ascii="Times New Roman" w:hAnsi="Times New Roman" w:cs="Times New Roman"/>
          <w:sz w:val="24"/>
          <w:szCs w:val="24"/>
        </w:rPr>
        <w:t xml:space="preserve">, the maximum sentence is one of 5 years. </w:t>
      </w:r>
      <w:r w:rsidR="00B544CF">
        <w:rPr>
          <w:rFonts w:ascii="Times New Roman" w:hAnsi="Times New Roman" w:cs="Times New Roman"/>
          <w:sz w:val="24"/>
          <w:szCs w:val="24"/>
        </w:rPr>
        <w:t xml:space="preserve">Although </w:t>
      </w:r>
      <w:r w:rsidR="00877A81">
        <w:rPr>
          <w:rFonts w:ascii="Times New Roman" w:hAnsi="Times New Roman" w:cs="Times New Roman"/>
          <w:sz w:val="24"/>
          <w:szCs w:val="24"/>
        </w:rPr>
        <w:t>it is</w:t>
      </w:r>
      <w:r w:rsidR="00B544CF">
        <w:rPr>
          <w:rFonts w:ascii="Times New Roman" w:hAnsi="Times New Roman" w:cs="Times New Roman"/>
          <w:sz w:val="24"/>
          <w:szCs w:val="24"/>
        </w:rPr>
        <w:t xml:space="preserve"> important to recognise the difference between</w:t>
      </w:r>
      <w:r w:rsidR="00A61999">
        <w:rPr>
          <w:rFonts w:ascii="Times New Roman" w:hAnsi="Times New Roman" w:cs="Times New Roman"/>
          <w:sz w:val="24"/>
          <w:szCs w:val="24"/>
        </w:rPr>
        <w:t xml:space="preserve"> the</w:t>
      </w:r>
      <w:r w:rsidR="00B544CF">
        <w:rPr>
          <w:rFonts w:ascii="Times New Roman" w:hAnsi="Times New Roman" w:cs="Times New Roman"/>
          <w:sz w:val="24"/>
          <w:szCs w:val="24"/>
        </w:rPr>
        <w:t xml:space="preserve"> strangulation of a stranger </w:t>
      </w:r>
      <w:r w:rsidR="00C30D57">
        <w:rPr>
          <w:rFonts w:ascii="Times New Roman" w:hAnsi="Times New Roman" w:cs="Times New Roman"/>
          <w:sz w:val="24"/>
          <w:szCs w:val="24"/>
        </w:rPr>
        <w:t xml:space="preserve">or a friend </w:t>
      </w:r>
      <w:r w:rsidR="00B544CF">
        <w:rPr>
          <w:rFonts w:ascii="Times New Roman" w:hAnsi="Times New Roman" w:cs="Times New Roman"/>
          <w:sz w:val="24"/>
          <w:szCs w:val="24"/>
        </w:rPr>
        <w:t xml:space="preserve">in the street </w:t>
      </w:r>
      <w:r w:rsidR="00C30D57">
        <w:rPr>
          <w:rFonts w:ascii="Times New Roman" w:hAnsi="Times New Roman" w:cs="Times New Roman"/>
          <w:sz w:val="24"/>
          <w:szCs w:val="24"/>
        </w:rPr>
        <w:t xml:space="preserve">and the strangulation of an intimate partner as a </w:t>
      </w:r>
      <w:r w:rsidR="007C0339">
        <w:rPr>
          <w:rFonts w:ascii="Times New Roman" w:hAnsi="Times New Roman" w:cs="Times New Roman"/>
          <w:sz w:val="24"/>
          <w:szCs w:val="24"/>
        </w:rPr>
        <w:t>mechanism</w:t>
      </w:r>
      <w:r w:rsidR="00C30D57">
        <w:rPr>
          <w:rFonts w:ascii="Times New Roman" w:hAnsi="Times New Roman" w:cs="Times New Roman"/>
          <w:sz w:val="24"/>
          <w:szCs w:val="24"/>
        </w:rPr>
        <w:t xml:space="preserve"> to gain control, it is unclear why there is such a disparity between the </w:t>
      </w:r>
      <w:r w:rsidR="007C0339">
        <w:rPr>
          <w:rFonts w:ascii="Times New Roman" w:hAnsi="Times New Roman" w:cs="Times New Roman"/>
          <w:sz w:val="24"/>
          <w:szCs w:val="24"/>
        </w:rPr>
        <w:t xml:space="preserve">maximum </w:t>
      </w:r>
      <w:r w:rsidR="00C30D57">
        <w:rPr>
          <w:rFonts w:ascii="Times New Roman" w:hAnsi="Times New Roman" w:cs="Times New Roman"/>
          <w:sz w:val="24"/>
          <w:szCs w:val="24"/>
        </w:rPr>
        <w:t>sentences.</w:t>
      </w:r>
      <w:r w:rsidR="007C0339">
        <w:rPr>
          <w:rFonts w:ascii="Times New Roman" w:hAnsi="Times New Roman" w:cs="Times New Roman"/>
          <w:sz w:val="24"/>
          <w:szCs w:val="24"/>
        </w:rPr>
        <w:t xml:space="preserve"> Judges and benches across the country have</w:t>
      </w:r>
      <w:r w:rsidR="00AD1B87">
        <w:rPr>
          <w:rFonts w:ascii="Times New Roman" w:hAnsi="Times New Roman" w:cs="Times New Roman"/>
          <w:sz w:val="24"/>
          <w:szCs w:val="24"/>
        </w:rPr>
        <w:t xml:space="preserve"> for some time</w:t>
      </w:r>
      <w:r w:rsidR="007C0339">
        <w:rPr>
          <w:rFonts w:ascii="Times New Roman" w:hAnsi="Times New Roman" w:cs="Times New Roman"/>
          <w:sz w:val="24"/>
          <w:szCs w:val="24"/>
        </w:rPr>
        <w:t xml:space="preserve"> applied the domestic violence guidelines and the aggravating feature of strangulation </w:t>
      </w:r>
      <w:r w:rsidR="00AD1B87">
        <w:rPr>
          <w:rFonts w:ascii="Times New Roman" w:hAnsi="Times New Roman" w:cs="Times New Roman"/>
          <w:sz w:val="24"/>
          <w:szCs w:val="24"/>
        </w:rPr>
        <w:t>when sentencing these offences</w:t>
      </w:r>
      <w:r w:rsidR="00A47541">
        <w:rPr>
          <w:rFonts w:ascii="Times New Roman" w:hAnsi="Times New Roman" w:cs="Times New Roman"/>
          <w:sz w:val="24"/>
          <w:szCs w:val="24"/>
        </w:rPr>
        <w:t xml:space="preserve">, to take into account these differences. </w:t>
      </w:r>
      <w:r w:rsidR="007F36F6">
        <w:rPr>
          <w:rFonts w:ascii="Times New Roman" w:hAnsi="Times New Roman" w:cs="Times New Roman"/>
          <w:sz w:val="24"/>
          <w:szCs w:val="24"/>
        </w:rPr>
        <w:t xml:space="preserve">However, applying these aggravating features to the new offence of Strangulation </w:t>
      </w:r>
      <w:r w:rsidR="00737834">
        <w:rPr>
          <w:rFonts w:ascii="Times New Roman" w:hAnsi="Times New Roman" w:cs="Times New Roman"/>
          <w:sz w:val="24"/>
          <w:szCs w:val="24"/>
        </w:rPr>
        <w:t xml:space="preserve">or Suffocation </w:t>
      </w:r>
      <w:r w:rsidR="007F36F6">
        <w:rPr>
          <w:rFonts w:ascii="Times New Roman" w:hAnsi="Times New Roman" w:cs="Times New Roman"/>
          <w:sz w:val="24"/>
          <w:szCs w:val="24"/>
        </w:rPr>
        <w:t xml:space="preserve">could be classified as ‘double counting’. </w:t>
      </w:r>
    </w:p>
    <w:p w14:paraId="526D5523" w14:textId="77777777" w:rsidR="00262934" w:rsidRDefault="00262934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190E4C" w14:textId="17065FD7" w:rsidR="00E45756" w:rsidRDefault="00CC5E9E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currently no Sentencing Council Guidelines in place for non-fatal strangulation</w:t>
      </w:r>
      <w:r w:rsidR="000445C7">
        <w:rPr>
          <w:rFonts w:ascii="Times New Roman" w:hAnsi="Times New Roman" w:cs="Times New Roman"/>
          <w:sz w:val="24"/>
          <w:szCs w:val="24"/>
        </w:rPr>
        <w:t xml:space="preserve"> or suffocation</w:t>
      </w:r>
      <w:r>
        <w:rPr>
          <w:rFonts w:ascii="Times New Roman" w:hAnsi="Times New Roman" w:cs="Times New Roman"/>
          <w:sz w:val="24"/>
          <w:szCs w:val="24"/>
        </w:rPr>
        <w:t xml:space="preserve">, and prosecutions </w:t>
      </w:r>
      <w:r w:rsidR="00771D75">
        <w:rPr>
          <w:rFonts w:ascii="Times New Roman" w:hAnsi="Times New Roman" w:cs="Times New Roman"/>
          <w:sz w:val="24"/>
          <w:szCs w:val="24"/>
        </w:rPr>
        <w:t xml:space="preserve">for these offences </w:t>
      </w:r>
      <w:r>
        <w:rPr>
          <w:rFonts w:ascii="Times New Roman" w:hAnsi="Times New Roman" w:cs="Times New Roman"/>
          <w:sz w:val="24"/>
          <w:szCs w:val="24"/>
        </w:rPr>
        <w:t>are only just starting to trickle through</w:t>
      </w:r>
      <w:r w:rsidR="00DE2691">
        <w:rPr>
          <w:rFonts w:ascii="Times New Roman" w:hAnsi="Times New Roman" w:cs="Times New Roman"/>
          <w:sz w:val="24"/>
          <w:szCs w:val="24"/>
        </w:rPr>
        <w:t xml:space="preserve"> the lower courts. </w:t>
      </w:r>
      <w:r w:rsidR="007B01FE">
        <w:rPr>
          <w:rFonts w:ascii="Times New Roman" w:hAnsi="Times New Roman" w:cs="Times New Roman"/>
          <w:sz w:val="24"/>
          <w:szCs w:val="24"/>
        </w:rPr>
        <w:t xml:space="preserve">Without seeing the updating </w:t>
      </w:r>
      <w:r w:rsidR="0065764E">
        <w:rPr>
          <w:rFonts w:ascii="Times New Roman" w:hAnsi="Times New Roman" w:cs="Times New Roman"/>
          <w:sz w:val="24"/>
          <w:szCs w:val="24"/>
        </w:rPr>
        <w:t>S</w:t>
      </w:r>
      <w:r w:rsidR="007B01FE">
        <w:rPr>
          <w:rFonts w:ascii="Times New Roman" w:hAnsi="Times New Roman" w:cs="Times New Roman"/>
          <w:sz w:val="24"/>
          <w:szCs w:val="24"/>
        </w:rPr>
        <w:t xml:space="preserve">entencing </w:t>
      </w:r>
      <w:r w:rsidR="0065764E">
        <w:rPr>
          <w:rFonts w:ascii="Times New Roman" w:hAnsi="Times New Roman" w:cs="Times New Roman"/>
          <w:sz w:val="24"/>
          <w:szCs w:val="24"/>
        </w:rPr>
        <w:t>G</w:t>
      </w:r>
      <w:r w:rsidR="007B01FE">
        <w:rPr>
          <w:rFonts w:ascii="Times New Roman" w:hAnsi="Times New Roman" w:cs="Times New Roman"/>
          <w:sz w:val="24"/>
          <w:szCs w:val="24"/>
        </w:rPr>
        <w:t xml:space="preserve">uidelines for </w:t>
      </w:r>
      <w:r w:rsidR="00771D75">
        <w:rPr>
          <w:rFonts w:ascii="Times New Roman" w:hAnsi="Times New Roman" w:cs="Times New Roman"/>
          <w:sz w:val="24"/>
          <w:szCs w:val="24"/>
        </w:rPr>
        <w:t>these two offences</w:t>
      </w:r>
      <w:r w:rsidR="007B01FE">
        <w:rPr>
          <w:rFonts w:ascii="Times New Roman" w:hAnsi="Times New Roman" w:cs="Times New Roman"/>
          <w:sz w:val="24"/>
          <w:szCs w:val="24"/>
        </w:rPr>
        <w:t xml:space="preserve">, it is unclear how </w:t>
      </w:r>
      <w:r w:rsidR="00771D75">
        <w:rPr>
          <w:rFonts w:ascii="Times New Roman" w:hAnsi="Times New Roman" w:cs="Times New Roman"/>
          <w:sz w:val="24"/>
          <w:szCs w:val="24"/>
        </w:rPr>
        <w:t>they</w:t>
      </w:r>
      <w:r w:rsidR="007B01FE">
        <w:rPr>
          <w:rFonts w:ascii="Times New Roman" w:hAnsi="Times New Roman" w:cs="Times New Roman"/>
          <w:sz w:val="24"/>
          <w:szCs w:val="24"/>
        </w:rPr>
        <w:t xml:space="preserve"> will be sentenced in practice moving forward.</w:t>
      </w:r>
      <w:r w:rsidR="00262934">
        <w:rPr>
          <w:rFonts w:ascii="Times New Roman" w:hAnsi="Times New Roman" w:cs="Times New Roman"/>
          <w:sz w:val="24"/>
          <w:szCs w:val="24"/>
        </w:rPr>
        <w:t xml:space="preserve"> </w:t>
      </w:r>
      <w:r w:rsidR="0065764E">
        <w:rPr>
          <w:rFonts w:ascii="Times New Roman" w:hAnsi="Times New Roman" w:cs="Times New Roman"/>
          <w:sz w:val="24"/>
          <w:szCs w:val="24"/>
        </w:rPr>
        <w:t>However, what</w:t>
      </w:r>
      <w:r w:rsidR="00E45756">
        <w:rPr>
          <w:rFonts w:ascii="Times New Roman" w:hAnsi="Times New Roman" w:cs="Times New Roman"/>
          <w:sz w:val="24"/>
          <w:szCs w:val="24"/>
        </w:rPr>
        <w:t xml:space="preserve"> is clear is that in some way, with the introduction of the Domestic Violence Act 2021</w:t>
      </w:r>
      <w:r w:rsidR="00262934">
        <w:rPr>
          <w:rFonts w:ascii="Times New Roman" w:hAnsi="Times New Roman" w:cs="Times New Roman"/>
          <w:sz w:val="24"/>
          <w:szCs w:val="24"/>
        </w:rPr>
        <w:t xml:space="preserve"> </w:t>
      </w:r>
      <w:r w:rsidR="00E45756">
        <w:rPr>
          <w:rFonts w:ascii="Times New Roman" w:hAnsi="Times New Roman" w:cs="Times New Roman"/>
          <w:sz w:val="24"/>
          <w:szCs w:val="24"/>
        </w:rPr>
        <w:t xml:space="preserve">and the improved </w:t>
      </w:r>
      <w:r w:rsidR="00E45756">
        <w:rPr>
          <w:rFonts w:ascii="Times New Roman" w:hAnsi="Times New Roman" w:cs="Times New Roman"/>
          <w:sz w:val="24"/>
          <w:szCs w:val="24"/>
        </w:rPr>
        <w:lastRenderedPageBreak/>
        <w:t xml:space="preserve">Victim’s Code, victims of domestic violence </w:t>
      </w:r>
      <w:r w:rsidR="000E5976">
        <w:rPr>
          <w:rFonts w:ascii="Times New Roman" w:hAnsi="Times New Roman" w:cs="Times New Roman"/>
          <w:sz w:val="24"/>
          <w:szCs w:val="24"/>
        </w:rPr>
        <w:t xml:space="preserve">will be one step closer to getting the justice and closure </w:t>
      </w:r>
      <w:r w:rsidR="00642F15">
        <w:rPr>
          <w:rFonts w:ascii="Times New Roman" w:hAnsi="Times New Roman" w:cs="Times New Roman"/>
          <w:sz w:val="24"/>
          <w:szCs w:val="24"/>
        </w:rPr>
        <w:t xml:space="preserve">which </w:t>
      </w:r>
      <w:r w:rsidR="000E5976">
        <w:rPr>
          <w:rFonts w:ascii="Times New Roman" w:hAnsi="Times New Roman" w:cs="Times New Roman"/>
          <w:sz w:val="24"/>
          <w:szCs w:val="24"/>
        </w:rPr>
        <w:t xml:space="preserve">they </w:t>
      </w:r>
      <w:r w:rsidR="00BF5972">
        <w:rPr>
          <w:rFonts w:ascii="Times New Roman" w:hAnsi="Times New Roman" w:cs="Times New Roman"/>
          <w:sz w:val="24"/>
          <w:szCs w:val="24"/>
        </w:rPr>
        <w:t>are searching for.</w:t>
      </w:r>
    </w:p>
    <w:p w14:paraId="79F2B169" w14:textId="77777777" w:rsidR="000E5976" w:rsidRDefault="000E5976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86E156" w14:textId="1FB785F2" w:rsidR="000E5976" w:rsidRPr="000E5976" w:rsidRDefault="000E5976" w:rsidP="004620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976">
        <w:rPr>
          <w:rFonts w:ascii="Times New Roman" w:hAnsi="Times New Roman" w:cs="Times New Roman"/>
          <w:b/>
          <w:bCs/>
          <w:sz w:val="24"/>
          <w:szCs w:val="24"/>
        </w:rPr>
        <w:t>Holly Thompson</w:t>
      </w:r>
    </w:p>
    <w:p w14:paraId="6DC632C8" w14:textId="77777777" w:rsidR="000E5976" w:rsidRDefault="000E5976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Pupil Barrister</w:t>
      </w:r>
    </w:p>
    <w:p w14:paraId="60CF2AE0" w14:textId="7E3C639B" w:rsidR="000E5976" w:rsidRPr="00462078" w:rsidRDefault="000E5976" w:rsidP="004620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Wilberforce Barristers</w:t>
      </w:r>
    </w:p>
    <w:p w14:paraId="6BF122A4" w14:textId="36A22D36" w:rsidR="00CE1B38" w:rsidRPr="00CE1B38" w:rsidRDefault="00CE1B38" w:rsidP="00CE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AD2FA3" w14:textId="77777777" w:rsidR="00CE1B38" w:rsidRPr="00CE1B38" w:rsidRDefault="00CE1B38" w:rsidP="00CE1B38">
      <w:pPr>
        <w:rPr>
          <w:sz w:val="24"/>
          <w:szCs w:val="24"/>
        </w:rPr>
      </w:pPr>
    </w:p>
    <w:p w14:paraId="7DDD0D73" w14:textId="77777777" w:rsidR="00CE1B38" w:rsidRPr="00CE1B38" w:rsidRDefault="00CE1B38">
      <w:pPr>
        <w:rPr>
          <w:b/>
          <w:bCs/>
          <w:u w:val="single"/>
        </w:rPr>
      </w:pPr>
    </w:p>
    <w:sectPr w:rsidR="00CE1B38" w:rsidRPr="00CE1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B74"/>
    <w:multiLevelType w:val="hybridMultilevel"/>
    <w:tmpl w:val="1DF0DEA8"/>
    <w:lvl w:ilvl="0" w:tplc="B6F42F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05022"/>
    <w:multiLevelType w:val="hybridMultilevel"/>
    <w:tmpl w:val="8AB4B8BE"/>
    <w:lvl w:ilvl="0" w:tplc="C010B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0192">
    <w:abstractNumId w:val="1"/>
  </w:num>
  <w:num w:numId="2" w16cid:durableId="147124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8"/>
    <w:rsid w:val="0000182F"/>
    <w:rsid w:val="000445C7"/>
    <w:rsid w:val="00051EE7"/>
    <w:rsid w:val="00065B63"/>
    <w:rsid w:val="00093ECE"/>
    <w:rsid w:val="000A3589"/>
    <w:rsid w:val="000C48CF"/>
    <w:rsid w:val="000D2019"/>
    <w:rsid w:val="000D6F02"/>
    <w:rsid w:val="000E0FF6"/>
    <w:rsid w:val="000E5976"/>
    <w:rsid w:val="00133642"/>
    <w:rsid w:val="001348B8"/>
    <w:rsid w:val="001408BE"/>
    <w:rsid w:val="001515A0"/>
    <w:rsid w:val="0016238F"/>
    <w:rsid w:val="0016571D"/>
    <w:rsid w:val="00173D54"/>
    <w:rsid w:val="001D008B"/>
    <w:rsid w:val="001D52ED"/>
    <w:rsid w:val="001F0153"/>
    <w:rsid w:val="001F697D"/>
    <w:rsid w:val="00203F15"/>
    <w:rsid w:val="002405A4"/>
    <w:rsid w:val="002621F9"/>
    <w:rsid w:val="00262934"/>
    <w:rsid w:val="00290E0E"/>
    <w:rsid w:val="002A0D02"/>
    <w:rsid w:val="002F4C01"/>
    <w:rsid w:val="002F5CC8"/>
    <w:rsid w:val="00324113"/>
    <w:rsid w:val="00351922"/>
    <w:rsid w:val="00355190"/>
    <w:rsid w:val="00375408"/>
    <w:rsid w:val="003A688D"/>
    <w:rsid w:val="003C376C"/>
    <w:rsid w:val="003C4BEE"/>
    <w:rsid w:val="00420933"/>
    <w:rsid w:val="004222B2"/>
    <w:rsid w:val="00457527"/>
    <w:rsid w:val="00462078"/>
    <w:rsid w:val="004B5B72"/>
    <w:rsid w:val="004C1FE5"/>
    <w:rsid w:val="004C2690"/>
    <w:rsid w:val="004C2EA6"/>
    <w:rsid w:val="004D55EC"/>
    <w:rsid w:val="004E67F2"/>
    <w:rsid w:val="004F7A60"/>
    <w:rsid w:val="00534118"/>
    <w:rsid w:val="00555374"/>
    <w:rsid w:val="00581C6D"/>
    <w:rsid w:val="00590FFA"/>
    <w:rsid w:val="005929E1"/>
    <w:rsid w:val="005C1DBE"/>
    <w:rsid w:val="00607698"/>
    <w:rsid w:val="0064180D"/>
    <w:rsid w:val="00641894"/>
    <w:rsid w:val="00642F15"/>
    <w:rsid w:val="0065764E"/>
    <w:rsid w:val="00660D1B"/>
    <w:rsid w:val="00684433"/>
    <w:rsid w:val="006B69BF"/>
    <w:rsid w:val="0071531A"/>
    <w:rsid w:val="00737834"/>
    <w:rsid w:val="007649D8"/>
    <w:rsid w:val="00771D75"/>
    <w:rsid w:val="00776F78"/>
    <w:rsid w:val="007B01FE"/>
    <w:rsid w:val="007C0339"/>
    <w:rsid w:val="007C3157"/>
    <w:rsid w:val="007D6C3A"/>
    <w:rsid w:val="007E64A4"/>
    <w:rsid w:val="007F25AF"/>
    <w:rsid w:val="007F36F6"/>
    <w:rsid w:val="00827042"/>
    <w:rsid w:val="0084598F"/>
    <w:rsid w:val="00874205"/>
    <w:rsid w:val="00877A81"/>
    <w:rsid w:val="008A4A68"/>
    <w:rsid w:val="0090050E"/>
    <w:rsid w:val="0094713A"/>
    <w:rsid w:val="00967A81"/>
    <w:rsid w:val="00997825"/>
    <w:rsid w:val="009C1F32"/>
    <w:rsid w:val="009D17E4"/>
    <w:rsid w:val="009E00FB"/>
    <w:rsid w:val="00A11EB2"/>
    <w:rsid w:val="00A233A2"/>
    <w:rsid w:val="00A405E9"/>
    <w:rsid w:val="00A47541"/>
    <w:rsid w:val="00A52E6C"/>
    <w:rsid w:val="00A5561F"/>
    <w:rsid w:val="00A61999"/>
    <w:rsid w:val="00A763B4"/>
    <w:rsid w:val="00AA0439"/>
    <w:rsid w:val="00AA1E3D"/>
    <w:rsid w:val="00AD1B87"/>
    <w:rsid w:val="00AE2E91"/>
    <w:rsid w:val="00AE308F"/>
    <w:rsid w:val="00AF618C"/>
    <w:rsid w:val="00B0054D"/>
    <w:rsid w:val="00B266B3"/>
    <w:rsid w:val="00B42BF6"/>
    <w:rsid w:val="00B544CF"/>
    <w:rsid w:val="00B672EC"/>
    <w:rsid w:val="00B70A9C"/>
    <w:rsid w:val="00B7474B"/>
    <w:rsid w:val="00B75C2E"/>
    <w:rsid w:val="00BE7F18"/>
    <w:rsid w:val="00BF5972"/>
    <w:rsid w:val="00BF6E57"/>
    <w:rsid w:val="00C16C1D"/>
    <w:rsid w:val="00C30D57"/>
    <w:rsid w:val="00C31434"/>
    <w:rsid w:val="00C50B66"/>
    <w:rsid w:val="00C51997"/>
    <w:rsid w:val="00C771DA"/>
    <w:rsid w:val="00CA7C09"/>
    <w:rsid w:val="00CC0194"/>
    <w:rsid w:val="00CC5E9E"/>
    <w:rsid w:val="00CE1B38"/>
    <w:rsid w:val="00D62FC6"/>
    <w:rsid w:val="00D63F16"/>
    <w:rsid w:val="00D92BA0"/>
    <w:rsid w:val="00D944C9"/>
    <w:rsid w:val="00DA1295"/>
    <w:rsid w:val="00DE0F16"/>
    <w:rsid w:val="00DE2691"/>
    <w:rsid w:val="00DE2F94"/>
    <w:rsid w:val="00DE3D9E"/>
    <w:rsid w:val="00E137B2"/>
    <w:rsid w:val="00E15680"/>
    <w:rsid w:val="00E26455"/>
    <w:rsid w:val="00E32CB8"/>
    <w:rsid w:val="00E375D7"/>
    <w:rsid w:val="00E45756"/>
    <w:rsid w:val="00EA4DC9"/>
    <w:rsid w:val="00EC01DA"/>
    <w:rsid w:val="00F06E40"/>
    <w:rsid w:val="00F25EE7"/>
    <w:rsid w:val="00F424DB"/>
    <w:rsid w:val="00F51383"/>
    <w:rsid w:val="00FB1EF2"/>
    <w:rsid w:val="00FC7C15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F141"/>
  <w15:chartTrackingRefBased/>
  <w15:docId w15:val="{4E4FA146-8B13-4D59-B25E-91BE208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Thompson</dc:creator>
  <cp:keywords/>
  <dc:description/>
  <cp:lastModifiedBy>Wayne Stevens</cp:lastModifiedBy>
  <cp:revision>2</cp:revision>
  <dcterms:created xsi:type="dcterms:W3CDTF">2022-11-03T17:14:00Z</dcterms:created>
  <dcterms:modified xsi:type="dcterms:W3CDTF">2022-11-03T17:14:00Z</dcterms:modified>
</cp:coreProperties>
</file>